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D101" w14:textId="77777777" w:rsidR="001F59DE" w:rsidRPr="003D1B3F" w:rsidRDefault="001F59DE" w:rsidP="001F59DE">
      <w:pPr>
        <w:spacing w:before="200" w:line="240" w:lineRule="auto"/>
        <w:jc w:val="center"/>
        <w:rPr>
          <w:b/>
          <w:sz w:val="50"/>
          <w:szCs w:val="50"/>
          <w:lang w:val="en-US"/>
        </w:rPr>
      </w:pPr>
    </w:p>
    <w:p w14:paraId="50FEE050" w14:textId="77777777" w:rsidR="001F59DE" w:rsidRPr="003D1B3F" w:rsidRDefault="001F59DE" w:rsidP="001F59DE">
      <w:pPr>
        <w:spacing w:before="200" w:line="240" w:lineRule="auto"/>
        <w:jc w:val="center"/>
        <w:rPr>
          <w:b/>
          <w:sz w:val="50"/>
          <w:szCs w:val="50"/>
          <w:lang w:val="en-US"/>
        </w:rPr>
      </w:pPr>
    </w:p>
    <w:p w14:paraId="5CF04BCE" w14:textId="77777777" w:rsidR="001F59DE" w:rsidRPr="003D1B3F" w:rsidRDefault="001F59DE" w:rsidP="001F59DE">
      <w:pPr>
        <w:spacing w:before="200" w:line="240" w:lineRule="auto"/>
        <w:jc w:val="center"/>
        <w:rPr>
          <w:b/>
          <w:sz w:val="50"/>
          <w:szCs w:val="50"/>
          <w:lang w:val="en-US"/>
        </w:rPr>
      </w:pPr>
    </w:p>
    <w:p w14:paraId="09990983" w14:textId="77777777" w:rsidR="001F59DE" w:rsidRPr="003D1B3F" w:rsidRDefault="001F59DE" w:rsidP="001F59DE">
      <w:pPr>
        <w:spacing w:before="200" w:line="240" w:lineRule="auto"/>
        <w:jc w:val="center"/>
        <w:rPr>
          <w:b/>
          <w:sz w:val="50"/>
          <w:szCs w:val="50"/>
          <w:lang w:val="en-US"/>
        </w:rPr>
      </w:pPr>
    </w:p>
    <w:p w14:paraId="4F0E9ABD" w14:textId="77777777" w:rsidR="001F59DE" w:rsidRPr="003D1B3F" w:rsidRDefault="001F59DE" w:rsidP="001F59DE">
      <w:pPr>
        <w:spacing w:before="200" w:line="240" w:lineRule="auto"/>
        <w:jc w:val="center"/>
        <w:rPr>
          <w:b/>
          <w:sz w:val="50"/>
          <w:szCs w:val="50"/>
          <w:lang w:val="en-US"/>
        </w:rPr>
      </w:pPr>
    </w:p>
    <w:p w14:paraId="7E532EAE" w14:textId="77777777" w:rsidR="00F9288E" w:rsidRPr="003D1B3F" w:rsidRDefault="00746460" w:rsidP="00F9288E">
      <w:pPr>
        <w:spacing w:before="200" w:line="240" w:lineRule="auto"/>
        <w:jc w:val="center"/>
        <w:rPr>
          <w:rFonts w:ascii="Alright Sans Bold" w:hAnsi="Alright Sans Bold"/>
          <w:sz w:val="70"/>
          <w:szCs w:val="70"/>
          <w:lang w:val="en-US"/>
        </w:rPr>
      </w:pPr>
      <w:r w:rsidRPr="003D1B3F">
        <w:rPr>
          <w:rFonts w:ascii="Alright Sans Bold" w:hAnsi="Alright Sans Bold"/>
          <w:sz w:val="70"/>
          <w:szCs w:val="70"/>
          <w:lang w:val="en-US"/>
        </w:rPr>
        <w:t>Treasury</w:t>
      </w:r>
      <w:r w:rsidR="00EE6935" w:rsidRPr="003D1B3F">
        <w:rPr>
          <w:rFonts w:ascii="Alright Sans Bold" w:hAnsi="Alright Sans Bold"/>
          <w:sz w:val="70"/>
          <w:szCs w:val="70"/>
          <w:lang w:val="en-US"/>
        </w:rPr>
        <w:t xml:space="preserve"> </w:t>
      </w:r>
      <w:proofErr w:type="spellStart"/>
      <w:r w:rsidRPr="003D1B3F">
        <w:rPr>
          <w:rFonts w:ascii="Alright Sans Bold" w:hAnsi="Alright Sans Bold"/>
          <w:sz w:val="70"/>
          <w:szCs w:val="70"/>
          <w:lang w:val="en-US"/>
        </w:rPr>
        <w:t>statuut</w:t>
      </w:r>
      <w:proofErr w:type="spellEnd"/>
      <w:r w:rsidR="002D4E1F" w:rsidRPr="003D1B3F">
        <w:rPr>
          <w:rFonts w:ascii="Alright Sans Bold" w:hAnsi="Alright Sans Bold"/>
          <w:sz w:val="70"/>
          <w:szCs w:val="70"/>
          <w:lang w:val="en-US"/>
        </w:rPr>
        <w:br/>
      </w:r>
    </w:p>
    <w:p w14:paraId="5832CA3C" w14:textId="77777777" w:rsidR="00F9288E" w:rsidRPr="003D1B3F" w:rsidRDefault="00F9288E" w:rsidP="00F9288E">
      <w:pPr>
        <w:rPr>
          <w:sz w:val="50"/>
          <w:szCs w:val="50"/>
          <w:lang w:val="en-US"/>
        </w:rPr>
      </w:pPr>
    </w:p>
    <w:p w14:paraId="2F8557E9" w14:textId="77777777" w:rsidR="00F9288E" w:rsidRPr="003D1B3F" w:rsidRDefault="00F9288E" w:rsidP="00F9288E">
      <w:pPr>
        <w:rPr>
          <w:sz w:val="50"/>
          <w:szCs w:val="50"/>
          <w:lang w:val="en-US"/>
        </w:rPr>
      </w:pPr>
    </w:p>
    <w:p w14:paraId="298A3FA4" w14:textId="77777777" w:rsidR="00F9288E" w:rsidRPr="003D1B3F" w:rsidRDefault="00F9288E" w:rsidP="00F9288E">
      <w:pPr>
        <w:rPr>
          <w:sz w:val="50"/>
          <w:szCs w:val="50"/>
          <w:lang w:val="en-US"/>
        </w:rPr>
      </w:pPr>
    </w:p>
    <w:p w14:paraId="37B840AF" w14:textId="77777777" w:rsidR="00F9288E" w:rsidRPr="003D1B3F" w:rsidRDefault="00F9288E" w:rsidP="00F9288E">
      <w:pPr>
        <w:rPr>
          <w:sz w:val="50"/>
          <w:szCs w:val="50"/>
          <w:lang w:val="en-US"/>
        </w:rPr>
      </w:pPr>
    </w:p>
    <w:p w14:paraId="329645B4" w14:textId="77777777" w:rsidR="00F9288E" w:rsidRPr="003D1B3F" w:rsidRDefault="00F9288E" w:rsidP="00F9288E">
      <w:pPr>
        <w:rPr>
          <w:sz w:val="50"/>
          <w:szCs w:val="50"/>
          <w:lang w:val="en-US"/>
        </w:rPr>
      </w:pPr>
    </w:p>
    <w:p w14:paraId="49FCD2D9" w14:textId="77777777" w:rsidR="00F9288E" w:rsidRPr="003D1B3F" w:rsidRDefault="00F9288E" w:rsidP="00F9288E">
      <w:pPr>
        <w:rPr>
          <w:sz w:val="50"/>
          <w:szCs w:val="50"/>
          <w:lang w:val="en-US"/>
        </w:rPr>
      </w:pPr>
    </w:p>
    <w:p w14:paraId="03319B1D" w14:textId="77777777" w:rsidR="00F9288E" w:rsidRPr="003D1B3F" w:rsidRDefault="00F9288E" w:rsidP="00F9288E">
      <w:pPr>
        <w:rPr>
          <w:sz w:val="50"/>
          <w:szCs w:val="50"/>
          <w:lang w:val="en-US"/>
        </w:rPr>
      </w:pPr>
    </w:p>
    <w:p w14:paraId="21185791" w14:textId="77777777" w:rsidR="00F9288E" w:rsidRPr="003D1B3F" w:rsidRDefault="00F9288E" w:rsidP="00F9288E">
      <w:pPr>
        <w:rPr>
          <w:sz w:val="50"/>
          <w:szCs w:val="50"/>
          <w:lang w:val="en-US"/>
        </w:rPr>
      </w:pPr>
    </w:p>
    <w:p w14:paraId="3DE419B7" w14:textId="79D710A4" w:rsidR="00F9288E" w:rsidRPr="003D1B3F" w:rsidRDefault="00F9288E" w:rsidP="00F9288E">
      <w:pPr>
        <w:spacing w:before="200" w:line="240" w:lineRule="auto"/>
        <w:jc w:val="center"/>
        <w:rPr>
          <w:sz w:val="50"/>
          <w:szCs w:val="50"/>
          <w:lang w:val="en-US"/>
        </w:rPr>
      </w:pPr>
    </w:p>
    <w:p w14:paraId="72BB4942" w14:textId="77777777" w:rsidR="002D4E1F" w:rsidRPr="003D1B3F" w:rsidRDefault="002D4E1F" w:rsidP="00F9288E">
      <w:pPr>
        <w:spacing w:before="200" w:line="240" w:lineRule="auto"/>
        <w:jc w:val="center"/>
        <w:rPr>
          <w:b/>
          <w:sz w:val="50"/>
          <w:szCs w:val="50"/>
          <w:lang w:val="en-US"/>
        </w:rPr>
      </w:pPr>
      <w:r w:rsidRPr="003D1B3F">
        <w:rPr>
          <w:sz w:val="50"/>
          <w:szCs w:val="50"/>
          <w:lang w:val="en-US"/>
        </w:rPr>
        <w:br w:type="page"/>
      </w:r>
    </w:p>
    <w:p w14:paraId="15F669A2" w14:textId="77777777" w:rsidR="002D4E1F" w:rsidRPr="003D1B3F" w:rsidRDefault="002D4E1F">
      <w:pPr>
        <w:pStyle w:val="Kopvaninhoudsopgave"/>
        <w:rPr>
          <w:rFonts w:ascii="Arial" w:hAnsi="Arial" w:cs="Arial"/>
          <w:color w:val="auto"/>
          <w:lang w:val="en-US"/>
        </w:rPr>
      </w:pPr>
      <w:proofErr w:type="spellStart"/>
      <w:r w:rsidRPr="003D1B3F">
        <w:rPr>
          <w:rFonts w:ascii="Arial" w:hAnsi="Arial" w:cs="Arial"/>
          <w:color w:val="auto"/>
          <w:lang w:val="en-US"/>
        </w:rPr>
        <w:lastRenderedPageBreak/>
        <w:t>Inhoud</w:t>
      </w:r>
      <w:proofErr w:type="spellEnd"/>
    </w:p>
    <w:p w14:paraId="3A5715B8" w14:textId="69890BF8" w:rsidR="00B10B54" w:rsidRDefault="002D4E1F">
      <w:pPr>
        <w:pStyle w:val="Inhopg1"/>
        <w:tabs>
          <w:tab w:val="left" w:pos="400"/>
          <w:tab w:val="right" w:leader="dot" w:pos="940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9964409" w:history="1">
        <w:r w:rsidR="00B10B54" w:rsidRPr="002A5745">
          <w:rPr>
            <w:rStyle w:val="Hyperlink"/>
            <w:noProof/>
          </w:rPr>
          <w:t>1</w:t>
        </w:r>
        <w:r w:rsidR="00B10B54">
          <w:rPr>
            <w:rFonts w:asciiTheme="minorHAnsi" w:eastAsiaTheme="minorEastAsia" w:hAnsiTheme="minorHAnsi" w:cstheme="minorBidi"/>
            <w:noProof/>
            <w:sz w:val="22"/>
            <w:szCs w:val="22"/>
          </w:rPr>
          <w:tab/>
        </w:r>
        <w:r w:rsidR="00B10B54" w:rsidRPr="002A5745">
          <w:rPr>
            <w:rStyle w:val="Hyperlink"/>
            <w:noProof/>
          </w:rPr>
          <w:t>Inleiding</w:t>
        </w:r>
        <w:r w:rsidR="00B10B54">
          <w:rPr>
            <w:noProof/>
            <w:webHidden/>
          </w:rPr>
          <w:tab/>
        </w:r>
        <w:r w:rsidR="00B10B54">
          <w:rPr>
            <w:noProof/>
            <w:webHidden/>
          </w:rPr>
          <w:fldChar w:fldCharType="begin"/>
        </w:r>
        <w:r w:rsidR="00B10B54">
          <w:rPr>
            <w:noProof/>
            <w:webHidden/>
          </w:rPr>
          <w:instrText xml:space="preserve"> PAGEREF _Toc529964409 \h </w:instrText>
        </w:r>
        <w:r w:rsidR="00B10B54">
          <w:rPr>
            <w:noProof/>
            <w:webHidden/>
          </w:rPr>
        </w:r>
        <w:r w:rsidR="00B10B54">
          <w:rPr>
            <w:noProof/>
            <w:webHidden/>
          </w:rPr>
          <w:fldChar w:fldCharType="separate"/>
        </w:r>
        <w:r w:rsidR="00B10B54">
          <w:rPr>
            <w:noProof/>
            <w:webHidden/>
          </w:rPr>
          <w:t>3</w:t>
        </w:r>
        <w:r w:rsidR="00B10B54">
          <w:rPr>
            <w:noProof/>
            <w:webHidden/>
          </w:rPr>
          <w:fldChar w:fldCharType="end"/>
        </w:r>
      </w:hyperlink>
    </w:p>
    <w:p w14:paraId="39E91361" w14:textId="7B70C5B2"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10" w:history="1">
        <w:r w:rsidR="00B10B54" w:rsidRPr="002A5745">
          <w:rPr>
            <w:rStyle w:val="Hyperlink"/>
            <w:noProof/>
          </w:rPr>
          <w:t>1.1</w:t>
        </w:r>
        <w:r w:rsidR="00B10B54">
          <w:rPr>
            <w:rFonts w:asciiTheme="minorHAnsi" w:eastAsiaTheme="minorEastAsia" w:hAnsiTheme="minorHAnsi" w:cstheme="minorBidi"/>
            <w:noProof/>
            <w:sz w:val="22"/>
            <w:szCs w:val="22"/>
          </w:rPr>
          <w:tab/>
        </w:r>
        <w:r w:rsidR="00B10B54" w:rsidRPr="002A5745">
          <w:rPr>
            <w:rStyle w:val="Hyperlink"/>
            <w:noProof/>
          </w:rPr>
          <w:t>Algemeen</w:t>
        </w:r>
        <w:r w:rsidR="00B10B54">
          <w:rPr>
            <w:noProof/>
            <w:webHidden/>
          </w:rPr>
          <w:tab/>
        </w:r>
        <w:r w:rsidR="00B10B54">
          <w:rPr>
            <w:noProof/>
            <w:webHidden/>
          </w:rPr>
          <w:fldChar w:fldCharType="begin"/>
        </w:r>
        <w:r w:rsidR="00B10B54">
          <w:rPr>
            <w:noProof/>
            <w:webHidden/>
          </w:rPr>
          <w:instrText xml:space="preserve"> PAGEREF _Toc529964410 \h </w:instrText>
        </w:r>
        <w:r w:rsidR="00B10B54">
          <w:rPr>
            <w:noProof/>
            <w:webHidden/>
          </w:rPr>
        </w:r>
        <w:r w:rsidR="00B10B54">
          <w:rPr>
            <w:noProof/>
            <w:webHidden/>
          </w:rPr>
          <w:fldChar w:fldCharType="separate"/>
        </w:r>
        <w:r w:rsidR="00B10B54">
          <w:rPr>
            <w:noProof/>
            <w:webHidden/>
          </w:rPr>
          <w:t>3</w:t>
        </w:r>
        <w:r w:rsidR="00B10B54">
          <w:rPr>
            <w:noProof/>
            <w:webHidden/>
          </w:rPr>
          <w:fldChar w:fldCharType="end"/>
        </w:r>
      </w:hyperlink>
    </w:p>
    <w:p w14:paraId="3D993A6B" w14:textId="278619E8"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11" w:history="1">
        <w:r w:rsidR="00B10B54" w:rsidRPr="002A5745">
          <w:rPr>
            <w:rStyle w:val="Hyperlink"/>
            <w:noProof/>
          </w:rPr>
          <w:t>1.2</w:t>
        </w:r>
        <w:r w:rsidR="00B10B54">
          <w:rPr>
            <w:rFonts w:asciiTheme="minorHAnsi" w:eastAsiaTheme="minorEastAsia" w:hAnsiTheme="minorHAnsi" w:cstheme="minorBidi"/>
            <w:noProof/>
            <w:sz w:val="22"/>
            <w:szCs w:val="22"/>
          </w:rPr>
          <w:tab/>
        </w:r>
        <w:r w:rsidR="00B10B54" w:rsidRPr="002A5745">
          <w:rPr>
            <w:rStyle w:val="Hyperlink"/>
            <w:noProof/>
          </w:rPr>
          <w:t>Indeling treasurystatuut</w:t>
        </w:r>
        <w:r w:rsidR="00B10B54">
          <w:rPr>
            <w:noProof/>
            <w:webHidden/>
          </w:rPr>
          <w:tab/>
        </w:r>
        <w:r w:rsidR="00B10B54">
          <w:rPr>
            <w:noProof/>
            <w:webHidden/>
          </w:rPr>
          <w:fldChar w:fldCharType="begin"/>
        </w:r>
        <w:r w:rsidR="00B10B54">
          <w:rPr>
            <w:noProof/>
            <w:webHidden/>
          </w:rPr>
          <w:instrText xml:space="preserve"> PAGEREF _Toc529964411 \h </w:instrText>
        </w:r>
        <w:r w:rsidR="00B10B54">
          <w:rPr>
            <w:noProof/>
            <w:webHidden/>
          </w:rPr>
        </w:r>
        <w:r w:rsidR="00B10B54">
          <w:rPr>
            <w:noProof/>
            <w:webHidden/>
          </w:rPr>
          <w:fldChar w:fldCharType="separate"/>
        </w:r>
        <w:r w:rsidR="00B10B54">
          <w:rPr>
            <w:noProof/>
            <w:webHidden/>
          </w:rPr>
          <w:t>3</w:t>
        </w:r>
        <w:r w:rsidR="00B10B54">
          <w:rPr>
            <w:noProof/>
            <w:webHidden/>
          </w:rPr>
          <w:fldChar w:fldCharType="end"/>
        </w:r>
      </w:hyperlink>
    </w:p>
    <w:p w14:paraId="3A62EDF8" w14:textId="582032E3" w:rsidR="00B10B54" w:rsidRDefault="00A81926">
      <w:pPr>
        <w:pStyle w:val="Inhopg1"/>
        <w:tabs>
          <w:tab w:val="left" w:pos="400"/>
          <w:tab w:val="right" w:leader="dot" w:pos="9403"/>
        </w:tabs>
        <w:rPr>
          <w:rFonts w:asciiTheme="minorHAnsi" w:eastAsiaTheme="minorEastAsia" w:hAnsiTheme="minorHAnsi" w:cstheme="minorBidi"/>
          <w:noProof/>
          <w:sz w:val="22"/>
          <w:szCs w:val="22"/>
        </w:rPr>
      </w:pPr>
      <w:hyperlink w:anchor="_Toc529964412" w:history="1">
        <w:r w:rsidR="00B10B54" w:rsidRPr="002A5745">
          <w:rPr>
            <w:rStyle w:val="Hyperlink"/>
            <w:noProof/>
          </w:rPr>
          <w:t>2</w:t>
        </w:r>
        <w:r w:rsidR="00B10B54">
          <w:rPr>
            <w:rFonts w:asciiTheme="minorHAnsi" w:eastAsiaTheme="minorEastAsia" w:hAnsiTheme="minorHAnsi" w:cstheme="minorBidi"/>
            <w:noProof/>
            <w:sz w:val="22"/>
            <w:szCs w:val="22"/>
          </w:rPr>
          <w:tab/>
        </w:r>
        <w:r w:rsidR="00B10B54" w:rsidRPr="002A5745">
          <w:rPr>
            <w:rStyle w:val="Hyperlink"/>
            <w:noProof/>
          </w:rPr>
          <w:t>Doelstellingen van de treasuryfunctie</w:t>
        </w:r>
        <w:r w:rsidR="00B10B54">
          <w:rPr>
            <w:noProof/>
            <w:webHidden/>
          </w:rPr>
          <w:tab/>
        </w:r>
        <w:r w:rsidR="00B10B54">
          <w:rPr>
            <w:noProof/>
            <w:webHidden/>
          </w:rPr>
          <w:fldChar w:fldCharType="begin"/>
        </w:r>
        <w:r w:rsidR="00B10B54">
          <w:rPr>
            <w:noProof/>
            <w:webHidden/>
          </w:rPr>
          <w:instrText xml:space="preserve"> PAGEREF _Toc529964412 \h </w:instrText>
        </w:r>
        <w:r w:rsidR="00B10B54">
          <w:rPr>
            <w:noProof/>
            <w:webHidden/>
          </w:rPr>
        </w:r>
        <w:r w:rsidR="00B10B54">
          <w:rPr>
            <w:noProof/>
            <w:webHidden/>
          </w:rPr>
          <w:fldChar w:fldCharType="separate"/>
        </w:r>
        <w:r w:rsidR="00B10B54">
          <w:rPr>
            <w:noProof/>
            <w:webHidden/>
          </w:rPr>
          <w:t>3</w:t>
        </w:r>
        <w:r w:rsidR="00B10B54">
          <w:rPr>
            <w:noProof/>
            <w:webHidden/>
          </w:rPr>
          <w:fldChar w:fldCharType="end"/>
        </w:r>
      </w:hyperlink>
    </w:p>
    <w:p w14:paraId="0050076F" w14:textId="13F5FCDE"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13" w:history="1">
        <w:r w:rsidR="00B10B54" w:rsidRPr="002A5745">
          <w:rPr>
            <w:rStyle w:val="Hyperlink"/>
            <w:noProof/>
          </w:rPr>
          <w:t>2.1</w:t>
        </w:r>
        <w:r w:rsidR="00B10B54">
          <w:rPr>
            <w:rFonts w:asciiTheme="minorHAnsi" w:eastAsiaTheme="minorEastAsia" w:hAnsiTheme="minorHAnsi" w:cstheme="minorBidi"/>
            <w:noProof/>
            <w:sz w:val="22"/>
            <w:szCs w:val="22"/>
          </w:rPr>
          <w:tab/>
        </w:r>
        <w:r w:rsidR="00B10B54" w:rsidRPr="002A5745">
          <w:rPr>
            <w:rStyle w:val="Hyperlink"/>
            <w:noProof/>
          </w:rPr>
          <w:t>Verantwoordelijkheid van het bestuur</w:t>
        </w:r>
        <w:r w:rsidR="00B10B54">
          <w:rPr>
            <w:noProof/>
            <w:webHidden/>
          </w:rPr>
          <w:tab/>
        </w:r>
        <w:r w:rsidR="00B10B54">
          <w:rPr>
            <w:noProof/>
            <w:webHidden/>
          </w:rPr>
          <w:fldChar w:fldCharType="begin"/>
        </w:r>
        <w:r w:rsidR="00B10B54">
          <w:rPr>
            <w:noProof/>
            <w:webHidden/>
          </w:rPr>
          <w:instrText xml:space="preserve"> PAGEREF _Toc529964413 \h </w:instrText>
        </w:r>
        <w:r w:rsidR="00B10B54">
          <w:rPr>
            <w:noProof/>
            <w:webHidden/>
          </w:rPr>
        </w:r>
        <w:r w:rsidR="00B10B54">
          <w:rPr>
            <w:noProof/>
            <w:webHidden/>
          </w:rPr>
          <w:fldChar w:fldCharType="separate"/>
        </w:r>
        <w:r w:rsidR="00B10B54">
          <w:rPr>
            <w:noProof/>
            <w:webHidden/>
          </w:rPr>
          <w:t>3</w:t>
        </w:r>
        <w:r w:rsidR="00B10B54">
          <w:rPr>
            <w:noProof/>
            <w:webHidden/>
          </w:rPr>
          <w:fldChar w:fldCharType="end"/>
        </w:r>
      </w:hyperlink>
    </w:p>
    <w:p w14:paraId="1939D39E" w14:textId="6540C897"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14" w:history="1">
        <w:r w:rsidR="00B10B54" w:rsidRPr="002A5745">
          <w:rPr>
            <w:rStyle w:val="Hyperlink"/>
            <w:noProof/>
          </w:rPr>
          <w:t>2.2</w:t>
        </w:r>
        <w:r w:rsidR="00B10B54">
          <w:rPr>
            <w:rFonts w:asciiTheme="minorHAnsi" w:eastAsiaTheme="minorEastAsia" w:hAnsiTheme="minorHAnsi" w:cstheme="minorBidi"/>
            <w:noProof/>
            <w:sz w:val="22"/>
            <w:szCs w:val="22"/>
          </w:rPr>
          <w:tab/>
        </w:r>
        <w:r w:rsidR="00B10B54" w:rsidRPr="002A5745">
          <w:rPr>
            <w:rStyle w:val="Hyperlink"/>
            <w:noProof/>
          </w:rPr>
          <w:t>Liquiditeit</w:t>
        </w:r>
        <w:r w:rsidR="00B10B54">
          <w:rPr>
            <w:noProof/>
            <w:webHidden/>
          </w:rPr>
          <w:tab/>
        </w:r>
        <w:r w:rsidR="00B10B54">
          <w:rPr>
            <w:noProof/>
            <w:webHidden/>
          </w:rPr>
          <w:fldChar w:fldCharType="begin"/>
        </w:r>
        <w:r w:rsidR="00B10B54">
          <w:rPr>
            <w:noProof/>
            <w:webHidden/>
          </w:rPr>
          <w:instrText xml:space="preserve"> PAGEREF _Toc529964414 \h </w:instrText>
        </w:r>
        <w:r w:rsidR="00B10B54">
          <w:rPr>
            <w:noProof/>
            <w:webHidden/>
          </w:rPr>
        </w:r>
        <w:r w:rsidR="00B10B54">
          <w:rPr>
            <w:noProof/>
            <w:webHidden/>
          </w:rPr>
          <w:fldChar w:fldCharType="separate"/>
        </w:r>
        <w:r w:rsidR="00B10B54">
          <w:rPr>
            <w:noProof/>
            <w:webHidden/>
          </w:rPr>
          <w:t>3</w:t>
        </w:r>
        <w:r w:rsidR="00B10B54">
          <w:rPr>
            <w:noProof/>
            <w:webHidden/>
          </w:rPr>
          <w:fldChar w:fldCharType="end"/>
        </w:r>
      </w:hyperlink>
    </w:p>
    <w:p w14:paraId="5A7800E8" w14:textId="509E413A"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15" w:history="1">
        <w:r w:rsidR="00B10B54" w:rsidRPr="002A5745">
          <w:rPr>
            <w:rStyle w:val="Hyperlink"/>
            <w:noProof/>
          </w:rPr>
          <w:t>2.3</w:t>
        </w:r>
        <w:r w:rsidR="00B10B54">
          <w:rPr>
            <w:rFonts w:asciiTheme="minorHAnsi" w:eastAsiaTheme="minorEastAsia" w:hAnsiTheme="minorHAnsi" w:cstheme="minorBidi"/>
            <w:noProof/>
            <w:sz w:val="22"/>
            <w:szCs w:val="22"/>
          </w:rPr>
          <w:tab/>
        </w:r>
        <w:r w:rsidR="00B10B54" w:rsidRPr="002A5745">
          <w:rPr>
            <w:rStyle w:val="Hyperlink"/>
            <w:noProof/>
          </w:rPr>
          <w:t>Beleggingen</w:t>
        </w:r>
        <w:r w:rsidR="00B10B54">
          <w:rPr>
            <w:noProof/>
            <w:webHidden/>
          </w:rPr>
          <w:tab/>
        </w:r>
        <w:r w:rsidR="00B10B54">
          <w:rPr>
            <w:noProof/>
            <w:webHidden/>
          </w:rPr>
          <w:fldChar w:fldCharType="begin"/>
        </w:r>
        <w:r w:rsidR="00B10B54">
          <w:rPr>
            <w:noProof/>
            <w:webHidden/>
          </w:rPr>
          <w:instrText xml:space="preserve"> PAGEREF _Toc529964415 \h </w:instrText>
        </w:r>
        <w:r w:rsidR="00B10B54">
          <w:rPr>
            <w:noProof/>
            <w:webHidden/>
          </w:rPr>
        </w:r>
        <w:r w:rsidR="00B10B54">
          <w:rPr>
            <w:noProof/>
            <w:webHidden/>
          </w:rPr>
          <w:fldChar w:fldCharType="separate"/>
        </w:r>
        <w:r w:rsidR="00B10B54">
          <w:rPr>
            <w:noProof/>
            <w:webHidden/>
          </w:rPr>
          <w:t>4</w:t>
        </w:r>
        <w:r w:rsidR="00B10B54">
          <w:rPr>
            <w:noProof/>
            <w:webHidden/>
          </w:rPr>
          <w:fldChar w:fldCharType="end"/>
        </w:r>
      </w:hyperlink>
    </w:p>
    <w:p w14:paraId="48C7A871" w14:textId="0559516A"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16" w:history="1">
        <w:r w:rsidR="00B10B54" w:rsidRPr="002A5745">
          <w:rPr>
            <w:rStyle w:val="Hyperlink"/>
            <w:noProof/>
          </w:rPr>
          <w:t>2.4</w:t>
        </w:r>
        <w:r w:rsidR="00B10B54">
          <w:rPr>
            <w:rFonts w:asciiTheme="minorHAnsi" w:eastAsiaTheme="minorEastAsia" w:hAnsiTheme="minorHAnsi" w:cstheme="minorBidi"/>
            <w:noProof/>
            <w:sz w:val="22"/>
            <w:szCs w:val="22"/>
          </w:rPr>
          <w:tab/>
        </w:r>
        <w:r w:rsidR="00B10B54" w:rsidRPr="002A5745">
          <w:rPr>
            <w:rStyle w:val="Hyperlink"/>
            <w:noProof/>
          </w:rPr>
          <w:t>Betalingsverkeer</w:t>
        </w:r>
        <w:r w:rsidR="00B10B54">
          <w:rPr>
            <w:noProof/>
            <w:webHidden/>
          </w:rPr>
          <w:tab/>
        </w:r>
        <w:r w:rsidR="00B10B54">
          <w:rPr>
            <w:noProof/>
            <w:webHidden/>
          </w:rPr>
          <w:fldChar w:fldCharType="begin"/>
        </w:r>
        <w:r w:rsidR="00B10B54">
          <w:rPr>
            <w:noProof/>
            <w:webHidden/>
          </w:rPr>
          <w:instrText xml:space="preserve"> PAGEREF _Toc529964416 \h </w:instrText>
        </w:r>
        <w:r w:rsidR="00B10B54">
          <w:rPr>
            <w:noProof/>
            <w:webHidden/>
          </w:rPr>
        </w:r>
        <w:r w:rsidR="00B10B54">
          <w:rPr>
            <w:noProof/>
            <w:webHidden/>
          </w:rPr>
          <w:fldChar w:fldCharType="separate"/>
        </w:r>
        <w:r w:rsidR="00B10B54">
          <w:rPr>
            <w:noProof/>
            <w:webHidden/>
          </w:rPr>
          <w:t>4</w:t>
        </w:r>
        <w:r w:rsidR="00B10B54">
          <w:rPr>
            <w:noProof/>
            <w:webHidden/>
          </w:rPr>
          <w:fldChar w:fldCharType="end"/>
        </w:r>
      </w:hyperlink>
    </w:p>
    <w:p w14:paraId="2E95D324" w14:textId="1C5E1F30" w:rsidR="00B10B54" w:rsidRDefault="00A81926">
      <w:pPr>
        <w:pStyle w:val="Inhopg1"/>
        <w:tabs>
          <w:tab w:val="left" w:pos="400"/>
          <w:tab w:val="right" w:leader="dot" w:pos="9403"/>
        </w:tabs>
        <w:rPr>
          <w:rFonts w:asciiTheme="minorHAnsi" w:eastAsiaTheme="minorEastAsia" w:hAnsiTheme="minorHAnsi" w:cstheme="minorBidi"/>
          <w:noProof/>
          <w:sz w:val="22"/>
          <w:szCs w:val="22"/>
        </w:rPr>
      </w:pPr>
      <w:hyperlink w:anchor="_Toc529964417" w:history="1">
        <w:r w:rsidR="00B10B54" w:rsidRPr="002A5745">
          <w:rPr>
            <w:rStyle w:val="Hyperlink"/>
            <w:noProof/>
          </w:rPr>
          <w:t>3</w:t>
        </w:r>
        <w:r w:rsidR="00B10B54">
          <w:rPr>
            <w:rFonts w:asciiTheme="minorHAnsi" w:eastAsiaTheme="minorEastAsia" w:hAnsiTheme="minorHAnsi" w:cstheme="minorBidi"/>
            <w:noProof/>
            <w:sz w:val="22"/>
            <w:szCs w:val="22"/>
          </w:rPr>
          <w:tab/>
        </w:r>
        <w:r w:rsidR="00B10B54" w:rsidRPr="002A5745">
          <w:rPr>
            <w:rStyle w:val="Hyperlink"/>
            <w:noProof/>
          </w:rPr>
          <w:t>Governance</w:t>
        </w:r>
        <w:r w:rsidR="00B10B54">
          <w:rPr>
            <w:noProof/>
            <w:webHidden/>
          </w:rPr>
          <w:tab/>
        </w:r>
        <w:r w:rsidR="00B10B54">
          <w:rPr>
            <w:noProof/>
            <w:webHidden/>
          </w:rPr>
          <w:fldChar w:fldCharType="begin"/>
        </w:r>
        <w:r w:rsidR="00B10B54">
          <w:rPr>
            <w:noProof/>
            <w:webHidden/>
          </w:rPr>
          <w:instrText xml:space="preserve"> PAGEREF _Toc529964417 \h </w:instrText>
        </w:r>
        <w:r w:rsidR="00B10B54">
          <w:rPr>
            <w:noProof/>
            <w:webHidden/>
          </w:rPr>
        </w:r>
        <w:r w:rsidR="00B10B54">
          <w:rPr>
            <w:noProof/>
            <w:webHidden/>
          </w:rPr>
          <w:fldChar w:fldCharType="separate"/>
        </w:r>
        <w:r w:rsidR="00B10B54">
          <w:rPr>
            <w:noProof/>
            <w:webHidden/>
          </w:rPr>
          <w:t>4</w:t>
        </w:r>
        <w:r w:rsidR="00B10B54">
          <w:rPr>
            <w:noProof/>
            <w:webHidden/>
          </w:rPr>
          <w:fldChar w:fldCharType="end"/>
        </w:r>
      </w:hyperlink>
    </w:p>
    <w:p w14:paraId="44D1C89F" w14:textId="23108C9C"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18" w:history="1">
        <w:r w:rsidR="00B10B54" w:rsidRPr="002A5745">
          <w:rPr>
            <w:rStyle w:val="Hyperlink"/>
            <w:noProof/>
          </w:rPr>
          <w:t>3.1</w:t>
        </w:r>
        <w:r w:rsidR="00B10B54">
          <w:rPr>
            <w:rFonts w:asciiTheme="minorHAnsi" w:eastAsiaTheme="minorEastAsia" w:hAnsiTheme="minorHAnsi" w:cstheme="minorBidi"/>
            <w:noProof/>
            <w:sz w:val="22"/>
            <w:szCs w:val="22"/>
          </w:rPr>
          <w:tab/>
        </w:r>
        <w:r w:rsidR="00B10B54" w:rsidRPr="002A5745">
          <w:rPr>
            <w:rStyle w:val="Hyperlink"/>
            <w:noProof/>
          </w:rPr>
          <w:t>Plaats binnen de organisatie</w:t>
        </w:r>
        <w:r w:rsidR="00B10B54">
          <w:rPr>
            <w:noProof/>
            <w:webHidden/>
          </w:rPr>
          <w:tab/>
        </w:r>
        <w:r w:rsidR="00B10B54">
          <w:rPr>
            <w:noProof/>
            <w:webHidden/>
          </w:rPr>
          <w:fldChar w:fldCharType="begin"/>
        </w:r>
        <w:r w:rsidR="00B10B54">
          <w:rPr>
            <w:noProof/>
            <w:webHidden/>
          </w:rPr>
          <w:instrText xml:space="preserve"> PAGEREF _Toc529964418 \h </w:instrText>
        </w:r>
        <w:r w:rsidR="00B10B54">
          <w:rPr>
            <w:noProof/>
            <w:webHidden/>
          </w:rPr>
        </w:r>
        <w:r w:rsidR="00B10B54">
          <w:rPr>
            <w:noProof/>
            <w:webHidden/>
          </w:rPr>
          <w:fldChar w:fldCharType="separate"/>
        </w:r>
        <w:r w:rsidR="00B10B54">
          <w:rPr>
            <w:noProof/>
            <w:webHidden/>
          </w:rPr>
          <w:t>4</w:t>
        </w:r>
        <w:r w:rsidR="00B10B54">
          <w:rPr>
            <w:noProof/>
            <w:webHidden/>
          </w:rPr>
          <w:fldChar w:fldCharType="end"/>
        </w:r>
      </w:hyperlink>
    </w:p>
    <w:p w14:paraId="3F0A4C9C" w14:textId="0763B12F"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19" w:history="1">
        <w:r w:rsidR="00B10B54" w:rsidRPr="002A5745">
          <w:rPr>
            <w:rStyle w:val="Hyperlink"/>
            <w:noProof/>
          </w:rPr>
          <w:t>3.2</w:t>
        </w:r>
        <w:r w:rsidR="00B10B54">
          <w:rPr>
            <w:rFonts w:asciiTheme="minorHAnsi" w:eastAsiaTheme="minorEastAsia" w:hAnsiTheme="minorHAnsi" w:cstheme="minorBidi"/>
            <w:noProof/>
            <w:sz w:val="22"/>
            <w:szCs w:val="22"/>
          </w:rPr>
          <w:tab/>
        </w:r>
        <w:r w:rsidR="00B10B54" w:rsidRPr="002A5745">
          <w:rPr>
            <w:rStyle w:val="Hyperlink"/>
            <w:noProof/>
          </w:rPr>
          <w:t>Audit Commissie</w:t>
        </w:r>
        <w:r w:rsidR="00B10B54">
          <w:rPr>
            <w:noProof/>
            <w:webHidden/>
          </w:rPr>
          <w:tab/>
        </w:r>
        <w:r w:rsidR="00B10B54">
          <w:rPr>
            <w:noProof/>
            <w:webHidden/>
          </w:rPr>
          <w:fldChar w:fldCharType="begin"/>
        </w:r>
        <w:r w:rsidR="00B10B54">
          <w:rPr>
            <w:noProof/>
            <w:webHidden/>
          </w:rPr>
          <w:instrText xml:space="preserve"> PAGEREF _Toc529964419 \h </w:instrText>
        </w:r>
        <w:r w:rsidR="00B10B54">
          <w:rPr>
            <w:noProof/>
            <w:webHidden/>
          </w:rPr>
        </w:r>
        <w:r w:rsidR="00B10B54">
          <w:rPr>
            <w:noProof/>
            <w:webHidden/>
          </w:rPr>
          <w:fldChar w:fldCharType="separate"/>
        </w:r>
        <w:r w:rsidR="00B10B54">
          <w:rPr>
            <w:noProof/>
            <w:webHidden/>
          </w:rPr>
          <w:t>5</w:t>
        </w:r>
        <w:r w:rsidR="00B10B54">
          <w:rPr>
            <w:noProof/>
            <w:webHidden/>
          </w:rPr>
          <w:fldChar w:fldCharType="end"/>
        </w:r>
      </w:hyperlink>
    </w:p>
    <w:p w14:paraId="0929D624" w14:textId="216DB8DF"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0" w:history="1">
        <w:r w:rsidR="00B10B54" w:rsidRPr="002A5745">
          <w:rPr>
            <w:rStyle w:val="Hyperlink"/>
            <w:noProof/>
          </w:rPr>
          <w:t>3.3</w:t>
        </w:r>
        <w:r w:rsidR="00B10B54">
          <w:rPr>
            <w:rFonts w:asciiTheme="minorHAnsi" w:eastAsiaTheme="minorEastAsia" w:hAnsiTheme="minorHAnsi" w:cstheme="minorBidi"/>
            <w:noProof/>
            <w:sz w:val="22"/>
            <w:szCs w:val="22"/>
          </w:rPr>
          <w:tab/>
        </w:r>
        <w:r w:rsidR="00B10B54" w:rsidRPr="002A5745">
          <w:rPr>
            <w:rStyle w:val="Hyperlink"/>
            <w:noProof/>
          </w:rPr>
          <w:t>Besluitvorming</w:t>
        </w:r>
        <w:r w:rsidR="00B10B54">
          <w:rPr>
            <w:noProof/>
            <w:webHidden/>
          </w:rPr>
          <w:tab/>
        </w:r>
        <w:r w:rsidR="00B10B54">
          <w:rPr>
            <w:noProof/>
            <w:webHidden/>
          </w:rPr>
          <w:fldChar w:fldCharType="begin"/>
        </w:r>
        <w:r w:rsidR="00B10B54">
          <w:rPr>
            <w:noProof/>
            <w:webHidden/>
          </w:rPr>
          <w:instrText xml:space="preserve"> PAGEREF _Toc529964420 \h </w:instrText>
        </w:r>
        <w:r w:rsidR="00B10B54">
          <w:rPr>
            <w:noProof/>
            <w:webHidden/>
          </w:rPr>
        </w:r>
        <w:r w:rsidR="00B10B54">
          <w:rPr>
            <w:noProof/>
            <w:webHidden/>
          </w:rPr>
          <w:fldChar w:fldCharType="separate"/>
        </w:r>
        <w:r w:rsidR="00B10B54">
          <w:rPr>
            <w:noProof/>
            <w:webHidden/>
          </w:rPr>
          <w:t>5</w:t>
        </w:r>
        <w:r w:rsidR="00B10B54">
          <w:rPr>
            <w:noProof/>
            <w:webHidden/>
          </w:rPr>
          <w:fldChar w:fldCharType="end"/>
        </w:r>
      </w:hyperlink>
    </w:p>
    <w:p w14:paraId="2508D1E9" w14:textId="6A0D79C0"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1" w:history="1">
        <w:r w:rsidR="00B10B54" w:rsidRPr="002A5745">
          <w:rPr>
            <w:rStyle w:val="Hyperlink"/>
            <w:noProof/>
          </w:rPr>
          <w:t>3.4</w:t>
        </w:r>
        <w:r w:rsidR="00B10B54">
          <w:rPr>
            <w:rFonts w:asciiTheme="minorHAnsi" w:eastAsiaTheme="minorEastAsia" w:hAnsiTheme="minorHAnsi" w:cstheme="minorBidi"/>
            <w:noProof/>
            <w:sz w:val="22"/>
            <w:szCs w:val="22"/>
          </w:rPr>
          <w:tab/>
        </w:r>
        <w:r w:rsidR="00B10B54" w:rsidRPr="002A5745">
          <w:rPr>
            <w:rStyle w:val="Hyperlink"/>
            <w:noProof/>
          </w:rPr>
          <w:t>Uitvoering beleid</w:t>
        </w:r>
        <w:r w:rsidR="00B10B54">
          <w:rPr>
            <w:noProof/>
            <w:webHidden/>
          </w:rPr>
          <w:tab/>
        </w:r>
        <w:r w:rsidR="00B10B54">
          <w:rPr>
            <w:noProof/>
            <w:webHidden/>
          </w:rPr>
          <w:fldChar w:fldCharType="begin"/>
        </w:r>
        <w:r w:rsidR="00B10B54">
          <w:rPr>
            <w:noProof/>
            <w:webHidden/>
          </w:rPr>
          <w:instrText xml:space="preserve"> PAGEREF _Toc529964421 \h </w:instrText>
        </w:r>
        <w:r w:rsidR="00B10B54">
          <w:rPr>
            <w:noProof/>
            <w:webHidden/>
          </w:rPr>
        </w:r>
        <w:r w:rsidR="00B10B54">
          <w:rPr>
            <w:noProof/>
            <w:webHidden/>
          </w:rPr>
          <w:fldChar w:fldCharType="separate"/>
        </w:r>
        <w:r w:rsidR="00B10B54">
          <w:rPr>
            <w:noProof/>
            <w:webHidden/>
          </w:rPr>
          <w:t>5</w:t>
        </w:r>
        <w:r w:rsidR="00B10B54">
          <w:rPr>
            <w:noProof/>
            <w:webHidden/>
          </w:rPr>
          <w:fldChar w:fldCharType="end"/>
        </w:r>
      </w:hyperlink>
    </w:p>
    <w:p w14:paraId="5E699F46" w14:textId="56A1A183"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2" w:history="1">
        <w:r w:rsidR="00B10B54" w:rsidRPr="002A5745">
          <w:rPr>
            <w:rStyle w:val="Hyperlink"/>
            <w:noProof/>
          </w:rPr>
          <w:t>3.5</w:t>
        </w:r>
        <w:r w:rsidR="00B10B54">
          <w:rPr>
            <w:rFonts w:asciiTheme="minorHAnsi" w:eastAsiaTheme="minorEastAsia" w:hAnsiTheme="minorHAnsi" w:cstheme="minorBidi"/>
            <w:noProof/>
            <w:sz w:val="22"/>
            <w:szCs w:val="22"/>
          </w:rPr>
          <w:tab/>
        </w:r>
        <w:r w:rsidR="00B10B54" w:rsidRPr="002A5745">
          <w:rPr>
            <w:rStyle w:val="Hyperlink"/>
            <w:noProof/>
          </w:rPr>
          <w:t>Evaluatie Treasurystatuut</w:t>
        </w:r>
        <w:r w:rsidR="00B10B54">
          <w:rPr>
            <w:noProof/>
            <w:webHidden/>
          </w:rPr>
          <w:tab/>
        </w:r>
        <w:r w:rsidR="00B10B54">
          <w:rPr>
            <w:noProof/>
            <w:webHidden/>
          </w:rPr>
          <w:fldChar w:fldCharType="begin"/>
        </w:r>
        <w:r w:rsidR="00B10B54">
          <w:rPr>
            <w:noProof/>
            <w:webHidden/>
          </w:rPr>
          <w:instrText xml:space="preserve"> PAGEREF _Toc529964422 \h </w:instrText>
        </w:r>
        <w:r w:rsidR="00B10B54">
          <w:rPr>
            <w:noProof/>
            <w:webHidden/>
          </w:rPr>
        </w:r>
        <w:r w:rsidR="00B10B54">
          <w:rPr>
            <w:noProof/>
            <w:webHidden/>
          </w:rPr>
          <w:fldChar w:fldCharType="separate"/>
        </w:r>
        <w:r w:rsidR="00B10B54">
          <w:rPr>
            <w:noProof/>
            <w:webHidden/>
          </w:rPr>
          <w:t>5</w:t>
        </w:r>
        <w:r w:rsidR="00B10B54">
          <w:rPr>
            <w:noProof/>
            <w:webHidden/>
          </w:rPr>
          <w:fldChar w:fldCharType="end"/>
        </w:r>
      </w:hyperlink>
    </w:p>
    <w:p w14:paraId="15103326" w14:textId="724F3F57"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3" w:history="1">
        <w:r w:rsidR="00B10B54" w:rsidRPr="002A5745">
          <w:rPr>
            <w:rStyle w:val="Hyperlink"/>
            <w:noProof/>
          </w:rPr>
          <w:t>3.6</w:t>
        </w:r>
        <w:r w:rsidR="00B10B54">
          <w:rPr>
            <w:rFonts w:asciiTheme="minorHAnsi" w:eastAsiaTheme="minorEastAsia" w:hAnsiTheme="minorHAnsi" w:cstheme="minorBidi"/>
            <w:noProof/>
            <w:sz w:val="22"/>
            <w:szCs w:val="22"/>
          </w:rPr>
          <w:tab/>
        </w:r>
        <w:r w:rsidR="00B10B54" w:rsidRPr="002A5745">
          <w:rPr>
            <w:rStyle w:val="Hyperlink"/>
            <w:noProof/>
          </w:rPr>
          <w:t>Controle accountant</w:t>
        </w:r>
        <w:r w:rsidR="00B10B54">
          <w:rPr>
            <w:noProof/>
            <w:webHidden/>
          </w:rPr>
          <w:tab/>
        </w:r>
        <w:r w:rsidR="00B10B54">
          <w:rPr>
            <w:noProof/>
            <w:webHidden/>
          </w:rPr>
          <w:fldChar w:fldCharType="begin"/>
        </w:r>
        <w:r w:rsidR="00B10B54">
          <w:rPr>
            <w:noProof/>
            <w:webHidden/>
          </w:rPr>
          <w:instrText xml:space="preserve"> PAGEREF _Toc529964423 \h </w:instrText>
        </w:r>
        <w:r w:rsidR="00B10B54">
          <w:rPr>
            <w:noProof/>
            <w:webHidden/>
          </w:rPr>
        </w:r>
        <w:r w:rsidR="00B10B54">
          <w:rPr>
            <w:noProof/>
            <w:webHidden/>
          </w:rPr>
          <w:fldChar w:fldCharType="separate"/>
        </w:r>
        <w:r w:rsidR="00B10B54">
          <w:rPr>
            <w:noProof/>
            <w:webHidden/>
          </w:rPr>
          <w:t>5</w:t>
        </w:r>
        <w:r w:rsidR="00B10B54">
          <w:rPr>
            <w:noProof/>
            <w:webHidden/>
          </w:rPr>
          <w:fldChar w:fldCharType="end"/>
        </w:r>
      </w:hyperlink>
    </w:p>
    <w:p w14:paraId="2986EFCE" w14:textId="144C1DF1" w:rsidR="00B10B54" w:rsidRDefault="00A81926">
      <w:pPr>
        <w:pStyle w:val="Inhopg1"/>
        <w:tabs>
          <w:tab w:val="left" w:pos="400"/>
          <w:tab w:val="right" w:leader="dot" w:pos="9403"/>
        </w:tabs>
        <w:rPr>
          <w:rFonts w:asciiTheme="minorHAnsi" w:eastAsiaTheme="minorEastAsia" w:hAnsiTheme="minorHAnsi" w:cstheme="minorBidi"/>
          <w:noProof/>
          <w:sz w:val="22"/>
          <w:szCs w:val="22"/>
        </w:rPr>
      </w:pPr>
      <w:hyperlink w:anchor="_Toc529964424" w:history="1">
        <w:r w:rsidR="00B10B54" w:rsidRPr="002A5745">
          <w:rPr>
            <w:rStyle w:val="Hyperlink"/>
            <w:noProof/>
          </w:rPr>
          <w:t>4</w:t>
        </w:r>
        <w:r w:rsidR="00B10B54">
          <w:rPr>
            <w:rFonts w:asciiTheme="minorHAnsi" w:eastAsiaTheme="minorEastAsia" w:hAnsiTheme="minorHAnsi" w:cstheme="minorBidi"/>
            <w:noProof/>
            <w:sz w:val="22"/>
            <w:szCs w:val="22"/>
          </w:rPr>
          <w:tab/>
        </w:r>
        <w:r w:rsidR="00B10B54" w:rsidRPr="002A5745">
          <w:rPr>
            <w:rStyle w:val="Hyperlink"/>
            <w:noProof/>
          </w:rPr>
          <w:t>Vermogensbeleid</w:t>
        </w:r>
        <w:r w:rsidR="00B10B54">
          <w:rPr>
            <w:noProof/>
            <w:webHidden/>
          </w:rPr>
          <w:tab/>
        </w:r>
        <w:r w:rsidR="00B10B54">
          <w:rPr>
            <w:noProof/>
            <w:webHidden/>
          </w:rPr>
          <w:fldChar w:fldCharType="begin"/>
        </w:r>
        <w:r w:rsidR="00B10B54">
          <w:rPr>
            <w:noProof/>
            <w:webHidden/>
          </w:rPr>
          <w:instrText xml:space="preserve"> PAGEREF _Toc529964424 \h </w:instrText>
        </w:r>
        <w:r w:rsidR="00B10B54">
          <w:rPr>
            <w:noProof/>
            <w:webHidden/>
          </w:rPr>
        </w:r>
        <w:r w:rsidR="00B10B54">
          <w:rPr>
            <w:noProof/>
            <w:webHidden/>
          </w:rPr>
          <w:fldChar w:fldCharType="separate"/>
        </w:r>
        <w:r w:rsidR="00B10B54">
          <w:rPr>
            <w:noProof/>
            <w:webHidden/>
          </w:rPr>
          <w:t>6</w:t>
        </w:r>
        <w:r w:rsidR="00B10B54">
          <w:rPr>
            <w:noProof/>
            <w:webHidden/>
          </w:rPr>
          <w:fldChar w:fldCharType="end"/>
        </w:r>
      </w:hyperlink>
    </w:p>
    <w:p w14:paraId="38AA71C0" w14:textId="420304EC"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5" w:history="1">
        <w:r w:rsidR="00B10B54" w:rsidRPr="002A5745">
          <w:rPr>
            <w:rStyle w:val="Hyperlink"/>
            <w:noProof/>
          </w:rPr>
          <w:t>4.1</w:t>
        </w:r>
        <w:r w:rsidR="00B10B54">
          <w:rPr>
            <w:rFonts w:asciiTheme="minorHAnsi" w:eastAsiaTheme="minorEastAsia" w:hAnsiTheme="minorHAnsi" w:cstheme="minorBidi"/>
            <w:noProof/>
            <w:sz w:val="22"/>
            <w:szCs w:val="22"/>
          </w:rPr>
          <w:tab/>
        </w:r>
        <w:r w:rsidR="00B10B54" w:rsidRPr="002A5745">
          <w:rPr>
            <w:rStyle w:val="Hyperlink"/>
            <w:noProof/>
          </w:rPr>
          <w:t>Reserves en fondsen</w:t>
        </w:r>
        <w:r w:rsidR="00B10B54">
          <w:rPr>
            <w:noProof/>
            <w:webHidden/>
          </w:rPr>
          <w:tab/>
        </w:r>
        <w:r w:rsidR="00B10B54">
          <w:rPr>
            <w:noProof/>
            <w:webHidden/>
          </w:rPr>
          <w:fldChar w:fldCharType="begin"/>
        </w:r>
        <w:r w:rsidR="00B10B54">
          <w:rPr>
            <w:noProof/>
            <w:webHidden/>
          </w:rPr>
          <w:instrText xml:space="preserve"> PAGEREF _Toc529964425 \h </w:instrText>
        </w:r>
        <w:r w:rsidR="00B10B54">
          <w:rPr>
            <w:noProof/>
            <w:webHidden/>
          </w:rPr>
        </w:r>
        <w:r w:rsidR="00B10B54">
          <w:rPr>
            <w:noProof/>
            <w:webHidden/>
          </w:rPr>
          <w:fldChar w:fldCharType="separate"/>
        </w:r>
        <w:r w:rsidR="00B10B54">
          <w:rPr>
            <w:noProof/>
            <w:webHidden/>
          </w:rPr>
          <w:t>6</w:t>
        </w:r>
        <w:r w:rsidR="00B10B54">
          <w:rPr>
            <w:noProof/>
            <w:webHidden/>
          </w:rPr>
          <w:fldChar w:fldCharType="end"/>
        </w:r>
      </w:hyperlink>
    </w:p>
    <w:p w14:paraId="7DDAAA43" w14:textId="5F0BDC35"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6" w:history="1">
        <w:r w:rsidR="00B10B54" w:rsidRPr="002A5745">
          <w:rPr>
            <w:rStyle w:val="Hyperlink"/>
            <w:noProof/>
          </w:rPr>
          <w:t>4.2</w:t>
        </w:r>
        <w:r w:rsidR="00B10B54">
          <w:rPr>
            <w:rFonts w:asciiTheme="minorHAnsi" w:eastAsiaTheme="minorEastAsia" w:hAnsiTheme="minorHAnsi" w:cstheme="minorBidi"/>
            <w:noProof/>
            <w:sz w:val="22"/>
            <w:szCs w:val="22"/>
          </w:rPr>
          <w:tab/>
        </w:r>
        <w:r w:rsidR="00B10B54" w:rsidRPr="002A5745">
          <w:rPr>
            <w:rStyle w:val="Hyperlink"/>
            <w:noProof/>
          </w:rPr>
          <w:t>Continuïteitsreserve</w:t>
        </w:r>
        <w:r w:rsidR="00B10B54">
          <w:rPr>
            <w:noProof/>
            <w:webHidden/>
          </w:rPr>
          <w:tab/>
        </w:r>
        <w:r w:rsidR="00B10B54">
          <w:rPr>
            <w:noProof/>
            <w:webHidden/>
          </w:rPr>
          <w:fldChar w:fldCharType="begin"/>
        </w:r>
        <w:r w:rsidR="00B10B54">
          <w:rPr>
            <w:noProof/>
            <w:webHidden/>
          </w:rPr>
          <w:instrText xml:space="preserve"> PAGEREF _Toc529964426 \h </w:instrText>
        </w:r>
        <w:r w:rsidR="00B10B54">
          <w:rPr>
            <w:noProof/>
            <w:webHidden/>
          </w:rPr>
        </w:r>
        <w:r w:rsidR="00B10B54">
          <w:rPr>
            <w:noProof/>
            <w:webHidden/>
          </w:rPr>
          <w:fldChar w:fldCharType="separate"/>
        </w:r>
        <w:r w:rsidR="00B10B54">
          <w:rPr>
            <w:noProof/>
            <w:webHidden/>
          </w:rPr>
          <w:t>6</w:t>
        </w:r>
        <w:r w:rsidR="00B10B54">
          <w:rPr>
            <w:noProof/>
            <w:webHidden/>
          </w:rPr>
          <w:fldChar w:fldCharType="end"/>
        </w:r>
      </w:hyperlink>
    </w:p>
    <w:p w14:paraId="48C2D289" w14:textId="1451EF6C"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7" w:history="1">
        <w:r w:rsidR="00B10B54" w:rsidRPr="002A5745">
          <w:rPr>
            <w:rStyle w:val="Hyperlink"/>
            <w:noProof/>
          </w:rPr>
          <w:t>4.3</w:t>
        </w:r>
        <w:r w:rsidR="00B10B54">
          <w:rPr>
            <w:rFonts w:asciiTheme="minorHAnsi" w:eastAsiaTheme="minorEastAsia" w:hAnsiTheme="minorHAnsi" w:cstheme="minorBidi"/>
            <w:noProof/>
            <w:sz w:val="22"/>
            <w:szCs w:val="22"/>
          </w:rPr>
          <w:tab/>
        </w:r>
        <w:r w:rsidR="00B10B54" w:rsidRPr="002A5745">
          <w:rPr>
            <w:rStyle w:val="Hyperlink"/>
            <w:noProof/>
          </w:rPr>
          <w:t>Bestemmingsreserve</w:t>
        </w:r>
        <w:r w:rsidR="00B10B54">
          <w:rPr>
            <w:noProof/>
            <w:webHidden/>
          </w:rPr>
          <w:tab/>
        </w:r>
        <w:r w:rsidR="00B10B54">
          <w:rPr>
            <w:noProof/>
            <w:webHidden/>
          </w:rPr>
          <w:fldChar w:fldCharType="begin"/>
        </w:r>
        <w:r w:rsidR="00B10B54">
          <w:rPr>
            <w:noProof/>
            <w:webHidden/>
          </w:rPr>
          <w:instrText xml:space="preserve"> PAGEREF _Toc529964427 \h </w:instrText>
        </w:r>
        <w:r w:rsidR="00B10B54">
          <w:rPr>
            <w:noProof/>
            <w:webHidden/>
          </w:rPr>
        </w:r>
        <w:r w:rsidR="00B10B54">
          <w:rPr>
            <w:noProof/>
            <w:webHidden/>
          </w:rPr>
          <w:fldChar w:fldCharType="separate"/>
        </w:r>
        <w:r w:rsidR="00B10B54">
          <w:rPr>
            <w:noProof/>
            <w:webHidden/>
          </w:rPr>
          <w:t>6</w:t>
        </w:r>
        <w:r w:rsidR="00B10B54">
          <w:rPr>
            <w:noProof/>
            <w:webHidden/>
          </w:rPr>
          <w:fldChar w:fldCharType="end"/>
        </w:r>
      </w:hyperlink>
    </w:p>
    <w:p w14:paraId="7513B7E5" w14:textId="3FC8BAE3"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8" w:history="1">
        <w:r w:rsidR="00B10B54" w:rsidRPr="002A5745">
          <w:rPr>
            <w:rStyle w:val="Hyperlink"/>
            <w:noProof/>
          </w:rPr>
          <w:t>4.4</w:t>
        </w:r>
        <w:r w:rsidR="00B10B54">
          <w:rPr>
            <w:rFonts w:asciiTheme="minorHAnsi" w:eastAsiaTheme="minorEastAsia" w:hAnsiTheme="minorHAnsi" w:cstheme="minorBidi"/>
            <w:noProof/>
            <w:sz w:val="22"/>
            <w:szCs w:val="22"/>
          </w:rPr>
          <w:tab/>
        </w:r>
        <w:r w:rsidR="00B10B54" w:rsidRPr="002A5745">
          <w:rPr>
            <w:rStyle w:val="Hyperlink"/>
            <w:noProof/>
          </w:rPr>
          <w:t>Herwaarderingsreserve</w:t>
        </w:r>
        <w:r w:rsidR="00B10B54">
          <w:rPr>
            <w:noProof/>
            <w:webHidden/>
          </w:rPr>
          <w:tab/>
        </w:r>
        <w:r w:rsidR="00B10B54">
          <w:rPr>
            <w:noProof/>
            <w:webHidden/>
          </w:rPr>
          <w:fldChar w:fldCharType="begin"/>
        </w:r>
        <w:r w:rsidR="00B10B54">
          <w:rPr>
            <w:noProof/>
            <w:webHidden/>
          </w:rPr>
          <w:instrText xml:space="preserve"> PAGEREF _Toc529964428 \h </w:instrText>
        </w:r>
        <w:r w:rsidR="00B10B54">
          <w:rPr>
            <w:noProof/>
            <w:webHidden/>
          </w:rPr>
        </w:r>
        <w:r w:rsidR="00B10B54">
          <w:rPr>
            <w:noProof/>
            <w:webHidden/>
          </w:rPr>
          <w:fldChar w:fldCharType="separate"/>
        </w:r>
        <w:r w:rsidR="00B10B54">
          <w:rPr>
            <w:noProof/>
            <w:webHidden/>
          </w:rPr>
          <w:t>7</w:t>
        </w:r>
        <w:r w:rsidR="00B10B54">
          <w:rPr>
            <w:noProof/>
            <w:webHidden/>
          </w:rPr>
          <w:fldChar w:fldCharType="end"/>
        </w:r>
      </w:hyperlink>
    </w:p>
    <w:p w14:paraId="1082BC23" w14:textId="24EF84C6"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29" w:history="1">
        <w:r w:rsidR="00B10B54" w:rsidRPr="002A5745">
          <w:rPr>
            <w:rStyle w:val="Hyperlink"/>
            <w:noProof/>
          </w:rPr>
          <w:t>4.5</w:t>
        </w:r>
        <w:r w:rsidR="00B10B54">
          <w:rPr>
            <w:rFonts w:asciiTheme="minorHAnsi" w:eastAsiaTheme="minorEastAsia" w:hAnsiTheme="minorHAnsi" w:cstheme="minorBidi"/>
            <w:noProof/>
            <w:sz w:val="22"/>
            <w:szCs w:val="22"/>
          </w:rPr>
          <w:tab/>
        </w:r>
        <w:r w:rsidR="00B10B54" w:rsidRPr="002A5745">
          <w:rPr>
            <w:rStyle w:val="Hyperlink"/>
            <w:noProof/>
          </w:rPr>
          <w:t>Overige reserve</w:t>
        </w:r>
        <w:r w:rsidR="00B10B54">
          <w:rPr>
            <w:noProof/>
            <w:webHidden/>
          </w:rPr>
          <w:tab/>
        </w:r>
        <w:r w:rsidR="00B10B54">
          <w:rPr>
            <w:noProof/>
            <w:webHidden/>
          </w:rPr>
          <w:fldChar w:fldCharType="begin"/>
        </w:r>
        <w:r w:rsidR="00B10B54">
          <w:rPr>
            <w:noProof/>
            <w:webHidden/>
          </w:rPr>
          <w:instrText xml:space="preserve"> PAGEREF _Toc529964429 \h </w:instrText>
        </w:r>
        <w:r w:rsidR="00B10B54">
          <w:rPr>
            <w:noProof/>
            <w:webHidden/>
          </w:rPr>
        </w:r>
        <w:r w:rsidR="00B10B54">
          <w:rPr>
            <w:noProof/>
            <w:webHidden/>
          </w:rPr>
          <w:fldChar w:fldCharType="separate"/>
        </w:r>
        <w:r w:rsidR="00B10B54">
          <w:rPr>
            <w:noProof/>
            <w:webHidden/>
          </w:rPr>
          <w:t>7</w:t>
        </w:r>
        <w:r w:rsidR="00B10B54">
          <w:rPr>
            <w:noProof/>
            <w:webHidden/>
          </w:rPr>
          <w:fldChar w:fldCharType="end"/>
        </w:r>
      </w:hyperlink>
    </w:p>
    <w:p w14:paraId="02784C95" w14:textId="4218895E"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30" w:history="1">
        <w:r w:rsidR="00B10B54" w:rsidRPr="002A5745">
          <w:rPr>
            <w:rStyle w:val="Hyperlink"/>
            <w:noProof/>
          </w:rPr>
          <w:t>4.6</w:t>
        </w:r>
        <w:r w:rsidR="00B10B54">
          <w:rPr>
            <w:rFonts w:asciiTheme="minorHAnsi" w:eastAsiaTheme="minorEastAsia" w:hAnsiTheme="minorHAnsi" w:cstheme="minorBidi"/>
            <w:noProof/>
            <w:sz w:val="22"/>
            <w:szCs w:val="22"/>
          </w:rPr>
          <w:tab/>
        </w:r>
        <w:r w:rsidR="00B10B54" w:rsidRPr="002A5745">
          <w:rPr>
            <w:rStyle w:val="Hyperlink"/>
            <w:noProof/>
          </w:rPr>
          <w:t>Fondsen</w:t>
        </w:r>
        <w:r w:rsidR="00B10B54">
          <w:rPr>
            <w:noProof/>
            <w:webHidden/>
          </w:rPr>
          <w:tab/>
        </w:r>
        <w:r w:rsidR="00B10B54">
          <w:rPr>
            <w:noProof/>
            <w:webHidden/>
          </w:rPr>
          <w:fldChar w:fldCharType="begin"/>
        </w:r>
        <w:r w:rsidR="00B10B54">
          <w:rPr>
            <w:noProof/>
            <w:webHidden/>
          </w:rPr>
          <w:instrText xml:space="preserve"> PAGEREF _Toc529964430 \h </w:instrText>
        </w:r>
        <w:r w:rsidR="00B10B54">
          <w:rPr>
            <w:noProof/>
            <w:webHidden/>
          </w:rPr>
        </w:r>
        <w:r w:rsidR="00B10B54">
          <w:rPr>
            <w:noProof/>
            <w:webHidden/>
          </w:rPr>
          <w:fldChar w:fldCharType="separate"/>
        </w:r>
        <w:r w:rsidR="00B10B54">
          <w:rPr>
            <w:noProof/>
            <w:webHidden/>
          </w:rPr>
          <w:t>7</w:t>
        </w:r>
        <w:r w:rsidR="00B10B54">
          <w:rPr>
            <w:noProof/>
            <w:webHidden/>
          </w:rPr>
          <w:fldChar w:fldCharType="end"/>
        </w:r>
      </w:hyperlink>
    </w:p>
    <w:p w14:paraId="5C1E96A4" w14:textId="47EA7B47" w:rsidR="00B10B54" w:rsidRDefault="00A81926">
      <w:pPr>
        <w:pStyle w:val="Inhopg1"/>
        <w:tabs>
          <w:tab w:val="left" w:pos="400"/>
          <w:tab w:val="right" w:leader="dot" w:pos="9403"/>
        </w:tabs>
        <w:rPr>
          <w:rFonts w:asciiTheme="minorHAnsi" w:eastAsiaTheme="minorEastAsia" w:hAnsiTheme="minorHAnsi" w:cstheme="minorBidi"/>
          <w:noProof/>
          <w:sz w:val="22"/>
          <w:szCs w:val="22"/>
        </w:rPr>
      </w:pPr>
      <w:hyperlink w:anchor="_Toc529964431" w:history="1">
        <w:r w:rsidR="00B10B54" w:rsidRPr="002A5745">
          <w:rPr>
            <w:rStyle w:val="Hyperlink"/>
            <w:noProof/>
          </w:rPr>
          <w:t>5</w:t>
        </w:r>
        <w:r w:rsidR="00B10B54">
          <w:rPr>
            <w:rFonts w:asciiTheme="minorHAnsi" w:eastAsiaTheme="minorEastAsia" w:hAnsiTheme="minorHAnsi" w:cstheme="minorBidi"/>
            <w:noProof/>
            <w:sz w:val="22"/>
            <w:szCs w:val="22"/>
          </w:rPr>
          <w:tab/>
        </w:r>
        <w:r w:rsidR="00B10B54" w:rsidRPr="002A5745">
          <w:rPr>
            <w:rStyle w:val="Hyperlink"/>
            <w:noProof/>
          </w:rPr>
          <w:t>Beleggingsbeleid</w:t>
        </w:r>
        <w:r w:rsidR="00B10B54">
          <w:rPr>
            <w:noProof/>
            <w:webHidden/>
          </w:rPr>
          <w:tab/>
        </w:r>
        <w:r w:rsidR="00B10B54">
          <w:rPr>
            <w:noProof/>
            <w:webHidden/>
          </w:rPr>
          <w:fldChar w:fldCharType="begin"/>
        </w:r>
        <w:r w:rsidR="00B10B54">
          <w:rPr>
            <w:noProof/>
            <w:webHidden/>
          </w:rPr>
          <w:instrText xml:space="preserve"> PAGEREF _Toc529964431 \h </w:instrText>
        </w:r>
        <w:r w:rsidR="00B10B54">
          <w:rPr>
            <w:noProof/>
            <w:webHidden/>
          </w:rPr>
        </w:r>
        <w:r w:rsidR="00B10B54">
          <w:rPr>
            <w:noProof/>
            <w:webHidden/>
          </w:rPr>
          <w:fldChar w:fldCharType="separate"/>
        </w:r>
        <w:r w:rsidR="00B10B54">
          <w:rPr>
            <w:noProof/>
            <w:webHidden/>
          </w:rPr>
          <w:t>7</w:t>
        </w:r>
        <w:r w:rsidR="00B10B54">
          <w:rPr>
            <w:noProof/>
            <w:webHidden/>
          </w:rPr>
          <w:fldChar w:fldCharType="end"/>
        </w:r>
      </w:hyperlink>
    </w:p>
    <w:p w14:paraId="1C85F95C" w14:textId="098D8B3F"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32" w:history="1">
        <w:r w:rsidR="00B10B54" w:rsidRPr="002A5745">
          <w:rPr>
            <w:rStyle w:val="Hyperlink"/>
            <w:noProof/>
          </w:rPr>
          <w:t>5.1</w:t>
        </w:r>
        <w:r w:rsidR="00B10B54">
          <w:rPr>
            <w:rFonts w:asciiTheme="minorHAnsi" w:eastAsiaTheme="minorEastAsia" w:hAnsiTheme="minorHAnsi" w:cstheme="minorBidi"/>
            <w:noProof/>
            <w:sz w:val="22"/>
            <w:szCs w:val="22"/>
          </w:rPr>
          <w:tab/>
        </w:r>
        <w:r w:rsidR="00B10B54" w:rsidRPr="002A5745">
          <w:rPr>
            <w:rStyle w:val="Hyperlink"/>
            <w:noProof/>
          </w:rPr>
          <w:t>Beleggingscriteria ten behoeve van beleggen in private equity</w:t>
        </w:r>
        <w:r w:rsidR="00B10B54">
          <w:rPr>
            <w:noProof/>
            <w:webHidden/>
          </w:rPr>
          <w:tab/>
        </w:r>
        <w:r w:rsidR="00B10B54">
          <w:rPr>
            <w:noProof/>
            <w:webHidden/>
          </w:rPr>
          <w:fldChar w:fldCharType="begin"/>
        </w:r>
        <w:r w:rsidR="00B10B54">
          <w:rPr>
            <w:noProof/>
            <w:webHidden/>
          </w:rPr>
          <w:instrText xml:space="preserve"> PAGEREF _Toc529964432 \h </w:instrText>
        </w:r>
        <w:r w:rsidR="00B10B54">
          <w:rPr>
            <w:noProof/>
            <w:webHidden/>
          </w:rPr>
        </w:r>
        <w:r w:rsidR="00B10B54">
          <w:rPr>
            <w:noProof/>
            <w:webHidden/>
          </w:rPr>
          <w:fldChar w:fldCharType="separate"/>
        </w:r>
        <w:r w:rsidR="00B10B54">
          <w:rPr>
            <w:noProof/>
            <w:webHidden/>
          </w:rPr>
          <w:t>8</w:t>
        </w:r>
        <w:r w:rsidR="00B10B54">
          <w:rPr>
            <w:noProof/>
            <w:webHidden/>
          </w:rPr>
          <w:fldChar w:fldCharType="end"/>
        </w:r>
      </w:hyperlink>
    </w:p>
    <w:p w14:paraId="5ABBF87D" w14:textId="6D5BF8F5"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33" w:history="1">
        <w:r w:rsidR="00B10B54" w:rsidRPr="002A5745">
          <w:rPr>
            <w:rStyle w:val="Hyperlink"/>
            <w:noProof/>
          </w:rPr>
          <w:t>5.2</w:t>
        </w:r>
        <w:r w:rsidR="00B10B54">
          <w:rPr>
            <w:rFonts w:asciiTheme="minorHAnsi" w:eastAsiaTheme="minorEastAsia" w:hAnsiTheme="minorHAnsi" w:cstheme="minorBidi"/>
            <w:noProof/>
            <w:sz w:val="22"/>
            <w:szCs w:val="22"/>
          </w:rPr>
          <w:tab/>
        </w:r>
        <w:r w:rsidR="00B10B54" w:rsidRPr="002A5745">
          <w:rPr>
            <w:rStyle w:val="Hyperlink"/>
            <w:noProof/>
          </w:rPr>
          <w:t>Beleggingscriteria ten behoeve van beleggen op de kapitaalmarkt</w:t>
        </w:r>
        <w:r w:rsidR="00B10B54">
          <w:rPr>
            <w:noProof/>
            <w:webHidden/>
          </w:rPr>
          <w:tab/>
        </w:r>
        <w:r w:rsidR="00B10B54">
          <w:rPr>
            <w:noProof/>
            <w:webHidden/>
          </w:rPr>
          <w:fldChar w:fldCharType="begin"/>
        </w:r>
        <w:r w:rsidR="00B10B54">
          <w:rPr>
            <w:noProof/>
            <w:webHidden/>
          </w:rPr>
          <w:instrText xml:space="preserve"> PAGEREF _Toc529964433 \h </w:instrText>
        </w:r>
        <w:r w:rsidR="00B10B54">
          <w:rPr>
            <w:noProof/>
            <w:webHidden/>
          </w:rPr>
        </w:r>
        <w:r w:rsidR="00B10B54">
          <w:rPr>
            <w:noProof/>
            <w:webHidden/>
          </w:rPr>
          <w:fldChar w:fldCharType="separate"/>
        </w:r>
        <w:r w:rsidR="00B10B54">
          <w:rPr>
            <w:noProof/>
            <w:webHidden/>
          </w:rPr>
          <w:t>8</w:t>
        </w:r>
        <w:r w:rsidR="00B10B54">
          <w:rPr>
            <w:noProof/>
            <w:webHidden/>
          </w:rPr>
          <w:fldChar w:fldCharType="end"/>
        </w:r>
      </w:hyperlink>
    </w:p>
    <w:p w14:paraId="7838CAD8" w14:textId="756EC564"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34" w:history="1">
        <w:r w:rsidR="00B10B54" w:rsidRPr="002A5745">
          <w:rPr>
            <w:rStyle w:val="Hyperlink"/>
            <w:noProof/>
          </w:rPr>
          <w:t>5.3</w:t>
        </w:r>
        <w:r w:rsidR="00B10B54">
          <w:rPr>
            <w:rFonts w:asciiTheme="minorHAnsi" w:eastAsiaTheme="minorEastAsia" w:hAnsiTheme="minorHAnsi" w:cstheme="minorBidi"/>
            <w:noProof/>
            <w:sz w:val="22"/>
            <w:szCs w:val="22"/>
          </w:rPr>
          <w:tab/>
        </w:r>
        <w:r w:rsidR="00B10B54" w:rsidRPr="002A5745">
          <w:rPr>
            <w:rStyle w:val="Hyperlink"/>
            <w:noProof/>
          </w:rPr>
          <w:t>Beleggingsinhoudelijke restricties</w:t>
        </w:r>
        <w:r w:rsidR="00B10B54">
          <w:rPr>
            <w:noProof/>
            <w:webHidden/>
          </w:rPr>
          <w:tab/>
        </w:r>
        <w:r w:rsidR="00B10B54">
          <w:rPr>
            <w:noProof/>
            <w:webHidden/>
          </w:rPr>
          <w:fldChar w:fldCharType="begin"/>
        </w:r>
        <w:r w:rsidR="00B10B54">
          <w:rPr>
            <w:noProof/>
            <w:webHidden/>
          </w:rPr>
          <w:instrText xml:space="preserve"> PAGEREF _Toc529964434 \h </w:instrText>
        </w:r>
        <w:r w:rsidR="00B10B54">
          <w:rPr>
            <w:noProof/>
            <w:webHidden/>
          </w:rPr>
        </w:r>
        <w:r w:rsidR="00B10B54">
          <w:rPr>
            <w:noProof/>
            <w:webHidden/>
          </w:rPr>
          <w:fldChar w:fldCharType="separate"/>
        </w:r>
        <w:r w:rsidR="00B10B54">
          <w:rPr>
            <w:noProof/>
            <w:webHidden/>
          </w:rPr>
          <w:t>9</w:t>
        </w:r>
        <w:r w:rsidR="00B10B54">
          <w:rPr>
            <w:noProof/>
            <w:webHidden/>
          </w:rPr>
          <w:fldChar w:fldCharType="end"/>
        </w:r>
      </w:hyperlink>
    </w:p>
    <w:p w14:paraId="35CAAED7" w14:textId="2427B842" w:rsidR="00B10B54" w:rsidRDefault="00A81926">
      <w:pPr>
        <w:pStyle w:val="Inhopg2"/>
        <w:tabs>
          <w:tab w:val="left" w:pos="880"/>
          <w:tab w:val="right" w:leader="dot" w:pos="9403"/>
        </w:tabs>
        <w:rPr>
          <w:rFonts w:asciiTheme="minorHAnsi" w:eastAsiaTheme="minorEastAsia" w:hAnsiTheme="minorHAnsi" w:cstheme="minorBidi"/>
          <w:noProof/>
          <w:sz w:val="22"/>
          <w:szCs w:val="22"/>
        </w:rPr>
      </w:pPr>
      <w:hyperlink w:anchor="_Toc529964435" w:history="1">
        <w:r w:rsidR="00B10B54" w:rsidRPr="002A5745">
          <w:rPr>
            <w:rStyle w:val="Hyperlink"/>
            <w:noProof/>
          </w:rPr>
          <w:t>5.4</w:t>
        </w:r>
        <w:r w:rsidR="00B10B54">
          <w:rPr>
            <w:rFonts w:asciiTheme="minorHAnsi" w:eastAsiaTheme="minorEastAsia" w:hAnsiTheme="minorHAnsi" w:cstheme="minorBidi"/>
            <w:noProof/>
            <w:sz w:val="22"/>
            <w:szCs w:val="22"/>
          </w:rPr>
          <w:tab/>
        </w:r>
        <w:r w:rsidR="00B10B54" w:rsidRPr="002A5745">
          <w:rPr>
            <w:rStyle w:val="Hyperlink"/>
            <w:noProof/>
          </w:rPr>
          <w:t>Portefeuille spreiding</w:t>
        </w:r>
        <w:r w:rsidR="00B10B54">
          <w:rPr>
            <w:noProof/>
            <w:webHidden/>
          </w:rPr>
          <w:tab/>
        </w:r>
        <w:r w:rsidR="00B10B54">
          <w:rPr>
            <w:noProof/>
            <w:webHidden/>
          </w:rPr>
          <w:fldChar w:fldCharType="begin"/>
        </w:r>
        <w:r w:rsidR="00B10B54">
          <w:rPr>
            <w:noProof/>
            <w:webHidden/>
          </w:rPr>
          <w:instrText xml:space="preserve"> PAGEREF _Toc529964435 \h </w:instrText>
        </w:r>
        <w:r w:rsidR="00B10B54">
          <w:rPr>
            <w:noProof/>
            <w:webHidden/>
          </w:rPr>
        </w:r>
        <w:r w:rsidR="00B10B54">
          <w:rPr>
            <w:noProof/>
            <w:webHidden/>
          </w:rPr>
          <w:fldChar w:fldCharType="separate"/>
        </w:r>
        <w:r w:rsidR="00B10B54">
          <w:rPr>
            <w:noProof/>
            <w:webHidden/>
          </w:rPr>
          <w:t>10</w:t>
        </w:r>
        <w:r w:rsidR="00B10B54">
          <w:rPr>
            <w:noProof/>
            <w:webHidden/>
          </w:rPr>
          <w:fldChar w:fldCharType="end"/>
        </w:r>
      </w:hyperlink>
    </w:p>
    <w:p w14:paraId="3BA23703" w14:textId="27EF194D" w:rsidR="00B10B54" w:rsidRDefault="00A81926">
      <w:pPr>
        <w:pStyle w:val="Inhopg1"/>
        <w:tabs>
          <w:tab w:val="left" w:pos="400"/>
          <w:tab w:val="right" w:leader="dot" w:pos="9403"/>
        </w:tabs>
        <w:rPr>
          <w:rFonts w:asciiTheme="minorHAnsi" w:eastAsiaTheme="minorEastAsia" w:hAnsiTheme="minorHAnsi" w:cstheme="minorBidi"/>
          <w:noProof/>
          <w:sz w:val="22"/>
          <w:szCs w:val="22"/>
        </w:rPr>
      </w:pPr>
      <w:hyperlink w:anchor="_Toc529964436" w:history="1">
        <w:r w:rsidR="00B10B54" w:rsidRPr="002A5745">
          <w:rPr>
            <w:rStyle w:val="Hyperlink"/>
            <w:noProof/>
          </w:rPr>
          <w:t>6</w:t>
        </w:r>
        <w:r w:rsidR="00B10B54">
          <w:rPr>
            <w:rFonts w:asciiTheme="minorHAnsi" w:eastAsiaTheme="minorEastAsia" w:hAnsiTheme="minorHAnsi" w:cstheme="minorBidi"/>
            <w:noProof/>
            <w:sz w:val="22"/>
            <w:szCs w:val="22"/>
          </w:rPr>
          <w:tab/>
        </w:r>
        <w:r w:rsidR="00B10B54" w:rsidRPr="002A5745">
          <w:rPr>
            <w:rStyle w:val="Hyperlink"/>
            <w:noProof/>
          </w:rPr>
          <w:t>Treasuryplan</w:t>
        </w:r>
        <w:r w:rsidR="00B10B54">
          <w:rPr>
            <w:noProof/>
            <w:webHidden/>
          </w:rPr>
          <w:tab/>
        </w:r>
        <w:r w:rsidR="00B10B54">
          <w:rPr>
            <w:noProof/>
            <w:webHidden/>
          </w:rPr>
          <w:fldChar w:fldCharType="begin"/>
        </w:r>
        <w:r w:rsidR="00B10B54">
          <w:rPr>
            <w:noProof/>
            <w:webHidden/>
          </w:rPr>
          <w:instrText xml:space="preserve"> PAGEREF _Toc529964436 \h </w:instrText>
        </w:r>
        <w:r w:rsidR="00B10B54">
          <w:rPr>
            <w:noProof/>
            <w:webHidden/>
          </w:rPr>
        </w:r>
        <w:r w:rsidR="00B10B54">
          <w:rPr>
            <w:noProof/>
            <w:webHidden/>
          </w:rPr>
          <w:fldChar w:fldCharType="separate"/>
        </w:r>
        <w:r w:rsidR="00B10B54">
          <w:rPr>
            <w:noProof/>
            <w:webHidden/>
          </w:rPr>
          <w:t>11</w:t>
        </w:r>
        <w:r w:rsidR="00B10B54">
          <w:rPr>
            <w:noProof/>
            <w:webHidden/>
          </w:rPr>
          <w:fldChar w:fldCharType="end"/>
        </w:r>
      </w:hyperlink>
    </w:p>
    <w:p w14:paraId="59253DD0" w14:textId="08DD7FDC" w:rsidR="00B10B54" w:rsidRDefault="00A81926">
      <w:pPr>
        <w:pStyle w:val="Inhopg1"/>
        <w:tabs>
          <w:tab w:val="right" w:leader="dot" w:pos="9403"/>
        </w:tabs>
        <w:rPr>
          <w:rFonts w:asciiTheme="minorHAnsi" w:eastAsiaTheme="minorEastAsia" w:hAnsiTheme="minorHAnsi" w:cstheme="minorBidi"/>
          <w:noProof/>
          <w:sz w:val="22"/>
          <w:szCs w:val="22"/>
        </w:rPr>
      </w:pPr>
      <w:hyperlink w:anchor="_Toc529964437" w:history="1">
        <w:r w:rsidR="00B10B54" w:rsidRPr="002A5745">
          <w:rPr>
            <w:rStyle w:val="Hyperlink"/>
            <w:noProof/>
          </w:rPr>
          <w:t>Bijlage 1 – Duurzaamheids-uitsluitingen</w:t>
        </w:r>
        <w:r w:rsidR="00B10B54">
          <w:rPr>
            <w:noProof/>
            <w:webHidden/>
          </w:rPr>
          <w:tab/>
        </w:r>
        <w:r w:rsidR="00B10B54">
          <w:rPr>
            <w:noProof/>
            <w:webHidden/>
          </w:rPr>
          <w:fldChar w:fldCharType="begin"/>
        </w:r>
        <w:r w:rsidR="00B10B54">
          <w:rPr>
            <w:noProof/>
            <w:webHidden/>
          </w:rPr>
          <w:instrText xml:space="preserve"> PAGEREF _Toc529964437 \h </w:instrText>
        </w:r>
        <w:r w:rsidR="00B10B54">
          <w:rPr>
            <w:noProof/>
            <w:webHidden/>
          </w:rPr>
        </w:r>
        <w:r w:rsidR="00B10B54">
          <w:rPr>
            <w:noProof/>
            <w:webHidden/>
          </w:rPr>
          <w:fldChar w:fldCharType="separate"/>
        </w:r>
        <w:r w:rsidR="00B10B54">
          <w:rPr>
            <w:noProof/>
            <w:webHidden/>
          </w:rPr>
          <w:t>12</w:t>
        </w:r>
        <w:r w:rsidR="00B10B54">
          <w:rPr>
            <w:noProof/>
            <w:webHidden/>
          </w:rPr>
          <w:fldChar w:fldCharType="end"/>
        </w:r>
      </w:hyperlink>
    </w:p>
    <w:p w14:paraId="38F308BC" w14:textId="04CCA809" w:rsidR="002D4E1F" w:rsidRDefault="002D4E1F">
      <w:r>
        <w:rPr>
          <w:b/>
          <w:bCs/>
        </w:rPr>
        <w:fldChar w:fldCharType="end"/>
      </w:r>
    </w:p>
    <w:p w14:paraId="5EA2F58D" w14:textId="77777777" w:rsidR="00096AE0" w:rsidRPr="009A7D90" w:rsidRDefault="00096AE0" w:rsidP="002D4E1F">
      <w:pPr>
        <w:pStyle w:val="Kop1"/>
        <w:numPr>
          <w:ilvl w:val="0"/>
          <w:numId w:val="0"/>
        </w:numPr>
        <w:spacing w:line="240" w:lineRule="auto"/>
        <w:ind w:left="360" w:hanging="360"/>
        <w:rPr>
          <w:szCs w:val="28"/>
        </w:rPr>
      </w:pPr>
    </w:p>
    <w:p w14:paraId="2CB31996" w14:textId="77777777" w:rsidR="00096AE0" w:rsidRPr="00EE6935" w:rsidRDefault="00096AE0" w:rsidP="00096AE0"/>
    <w:p w14:paraId="6DE95087" w14:textId="10908A9A" w:rsidR="00096AE0" w:rsidRPr="00096AE0" w:rsidRDefault="00096AE0" w:rsidP="00096AE0"/>
    <w:p w14:paraId="2AC33E5C" w14:textId="77777777" w:rsidR="005A23EE" w:rsidRPr="001F59DE" w:rsidRDefault="00746460" w:rsidP="001F59DE">
      <w:pPr>
        <w:pStyle w:val="Kop1"/>
        <w:spacing w:line="240" w:lineRule="auto"/>
        <w:rPr>
          <w:szCs w:val="28"/>
        </w:rPr>
      </w:pPr>
      <w:bookmarkStart w:id="0" w:name="_Toc529964409"/>
      <w:r>
        <w:rPr>
          <w:szCs w:val="28"/>
        </w:rPr>
        <w:lastRenderedPageBreak/>
        <w:t>Inleiding</w:t>
      </w:r>
      <w:bookmarkEnd w:id="0"/>
    </w:p>
    <w:p w14:paraId="1F3C17E1" w14:textId="77777777" w:rsidR="005A23EE" w:rsidRDefault="005A23EE" w:rsidP="002D4E1F">
      <w:pPr>
        <w:spacing w:line="240" w:lineRule="auto"/>
      </w:pPr>
    </w:p>
    <w:p w14:paraId="5F6CDF04" w14:textId="77777777" w:rsidR="005A23EE" w:rsidRDefault="00621DFF" w:rsidP="002D4E1F">
      <w:pPr>
        <w:pStyle w:val="Kop2"/>
        <w:spacing w:line="240" w:lineRule="auto"/>
      </w:pPr>
      <w:bookmarkStart w:id="1" w:name="_Toc529964410"/>
      <w:r>
        <w:t>Algemeen</w:t>
      </w:r>
      <w:bookmarkEnd w:id="1"/>
    </w:p>
    <w:p w14:paraId="6EB472D8" w14:textId="02EA782B" w:rsidR="00621DFF" w:rsidRDefault="00621DFF" w:rsidP="00621DFF">
      <w:pPr>
        <w:spacing w:line="276" w:lineRule="auto"/>
      </w:pPr>
      <w:r>
        <w:t xml:space="preserve">Om de doelstelling van de </w:t>
      </w:r>
      <w:r w:rsidR="00ED62D7">
        <w:t>&lt;NAAM ORGANISATIE&gt;</w:t>
      </w:r>
      <w:r>
        <w:t xml:space="preserve"> te kunnen realiseren zal de </w:t>
      </w:r>
      <w:r w:rsidR="00ED62D7">
        <w:t>&lt;NAAM ORGANISATIE&gt;</w:t>
      </w:r>
      <w:r>
        <w:t xml:space="preserve"> er van verzekerd moeten zijn te allen tijde aan haar verplichtingen te kunnen voldoen en zo nodig ook altijd middelen te kunnen aantrekken. Het beschikbaar hebben van middelen zal zowel op korte als op lange termijn verzekerd moeten zijn. In dit </w:t>
      </w:r>
      <w:proofErr w:type="spellStart"/>
      <w:r>
        <w:t>treasurystatuut</w:t>
      </w:r>
      <w:proofErr w:type="spellEnd"/>
      <w:r>
        <w:t xml:space="preserve"> wordt beschreven hoe de </w:t>
      </w:r>
      <w:r w:rsidR="00ED62D7">
        <w:t>&lt;NAAM ORGANISATIE&gt;</w:t>
      </w:r>
      <w:r>
        <w:t xml:space="preserve"> dit kan borgen.</w:t>
      </w:r>
    </w:p>
    <w:p w14:paraId="1BA6B2DF" w14:textId="77777777" w:rsidR="00747F00" w:rsidRDefault="00747F00" w:rsidP="00621DFF">
      <w:pPr>
        <w:spacing w:line="276" w:lineRule="auto"/>
      </w:pPr>
    </w:p>
    <w:p w14:paraId="6528C5CA" w14:textId="77777777" w:rsidR="00096AE0" w:rsidRDefault="002F19C5" w:rsidP="00621DFF">
      <w:pPr>
        <w:pStyle w:val="Kop2"/>
        <w:spacing w:line="240" w:lineRule="auto"/>
      </w:pPr>
      <w:bookmarkStart w:id="2" w:name="_Toc529964411"/>
      <w:r>
        <w:t xml:space="preserve">Indeling </w:t>
      </w:r>
      <w:proofErr w:type="spellStart"/>
      <w:r>
        <w:t>treasurystatuut</w:t>
      </w:r>
      <w:bookmarkEnd w:id="2"/>
      <w:proofErr w:type="spellEnd"/>
    </w:p>
    <w:p w14:paraId="6838B9BC" w14:textId="77777777" w:rsidR="00096AE0" w:rsidRDefault="002F19C5" w:rsidP="005B1422">
      <w:pPr>
        <w:spacing w:line="276" w:lineRule="auto"/>
      </w:pPr>
      <w:r>
        <w:t xml:space="preserve">Hoofdstuk 2 behandelt de doelstellingen van de </w:t>
      </w:r>
      <w:proofErr w:type="spellStart"/>
      <w:r>
        <w:t>treasuryfunctie</w:t>
      </w:r>
      <w:proofErr w:type="spellEnd"/>
      <w:r w:rsidR="00A47C46">
        <w:t xml:space="preserve"> en de verantwoordelijkheid van het bestuur</w:t>
      </w:r>
      <w:r>
        <w:t>. Vervolgens wordt in hoofdstuk 3 ingegaan op</w:t>
      </w:r>
      <w:r w:rsidR="000E599C">
        <w:t xml:space="preserve"> </w:t>
      </w:r>
      <w:proofErr w:type="spellStart"/>
      <w:r w:rsidR="000E599C">
        <w:t>Governance</w:t>
      </w:r>
      <w:proofErr w:type="spellEnd"/>
      <w:r w:rsidR="000E599C">
        <w:t>. Hoofdstuk 4 beschrijft</w:t>
      </w:r>
      <w:r>
        <w:t xml:space="preserve"> het vermogensbeleid waarin de richtlijnen worden beschreven omtrent het aanhouden en gebruik van de reserves en fondsen. In hoofdstuk </w:t>
      </w:r>
      <w:r w:rsidR="000E599C">
        <w:t>5</w:t>
      </w:r>
      <w:r>
        <w:t xml:space="preserve"> wordt het beleggings</w:t>
      </w:r>
      <w:r w:rsidR="003214A8">
        <w:t>beleid</w:t>
      </w:r>
      <w:r>
        <w:t xml:space="preserve"> </w:t>
      </w:r>
      <w:r w:rsidR="006C2DF0">
        <w:t>behandeld</w:t>
      </w:r>
      <w:r w:rsidR="00621DFF">
        <w:t xml:space="preserve"> gevolgd door </w:t>
      </w:r>
      <w:r w:rsidR="006C2DF0">
        <w:t>hoofdstuk</w:t>
      </w:r>
      <w:r w:rsidR="00621DFF">
        <w:t xml:space="preserve"> 6 </w:t>
      </w:r>
      <w:r>
        <w:t xml:space="preserve">waarin het </w:t>
      </w:r>
      <w:proofErr w:type="spellStart"/>
      <w:r>
        <w:t>treasuryplan</w:t>
      </w:r>
      <w:proofErr w:type="spellEnd"/>
      <w:r>
        <w:t xml:space="preserve"> verder wordt uitgewerkt.</w:t>
      </w:r>
      <w:r w:rsidR="00343640">
        <w:t xml:space="preserve"> In de bijlage</w:t>
      </w:r>
      <w:r w:rsidR="00161830">
        <w:t>n</w:t>
      </w:r>
      <w:r w:rsidR="00343640">
        <w:t xml:space="preserve"> </w:t>
      </w:r>
      <w:r w:rsidR="00161830">
        <w:t>zijn</w:t>
      </w:r>
      <w:r w:rsidR="00343640">
        <w:t xml:space="preserve"> het beleggingsstatuut, zoals vastgesteld eind 2012, </w:t>
      </w:r>
      <w:r w:rsidR="00161830">
        <w:t xml:space="preserve">en de duurzaamheidscriteria </w:t>
      </w:r>
      <w:r w:rsidR="00343640">
        <w:t>opgenomen.</w:t>
      </w:r>
    </w:p>
    <w:p w14:paraId="633A5BF4" w14:textId="77777777" w:rsidR="003E15DB" w:rsidRPr="003E15DB" w:rsidRDefault="003E15DB" w:rsidP="002D4E1F">
      <w:pPr>
        <w:spacing w:line="240" w:lineRule="auto"/>
      </w:pPr>
    </w:p>
    <w:p w14:paraId="50E686BE" w14:textId="77777777" w:rsidR="005A23EE" w:rsidRPr="00A060DA" w:rsidRDefault="00020C49" w:rsidP="002D4E1F">
      <w:pPr>
        <w:pStyle w:val="Kop1"/>
        <w:spacing w:line="240" w:lineRule="auto"/>
      </w:pPr>
      <w:bookmarkStart w:id="3" w:name="_Toc529964412"/>
      <w:r>
        <w:t xml:space="preserve">Doelstellingen van de </w:t>
      </w:r>
      <w:proofErr w:type="spellStart"/>
      <w:r>
        <w:t>treasuryfunctie</w:t>
      </w:r>
      <w:bookmarkEnd w:id="3"/>
      <w:proofErr w:type="spellEnd"/>
    </w:p>
    <w:p w14:paraId="36CBFE77" w14:textId="0E74C0DF" w:rsidR="005A23EE" w:rsidRDefault="00020C49" w:rsidP="005B1422">
      <w:pPr>
        <w:spacing w:line="276" w:lineRule="auto"/>
      </w:pPr>
      <w:proofErr w:type="spellStart"/>
      <w:r>
        <w:t>Treasury</w:t>
      </w:r>
      <w:proofErr w:type="spellEnd"/>
      <w:r>
        <w:t xml:space="preserve"> heeft bij de </w:t>
      </w:r>
      <w:r w:rsidR="00ED62D7">
        <w:t>&lt;NAAM ORGANISATIE&gt;</w:t>
      </w:r>
      <w:r>
        <w:t xml:space="preserve"> primair als doel het zodanig beheren van haar middelen dat financiële risico’s zoveel mogelijk worden beperkt en dat de </w:t>
      </w:r>
      <w:r w:rsidR="00ED62D7">
        <w:t>&lt;NAAM ORGANISATIE&gt;</w:t>
      </w:r>
      <w:r>
        <w:t xml:space="preserve"> altijd in staat is haar financiële verplichtingen te voldoen. Hierbij wordt gestreefd naar het voorkomen van financieringskosten en het aantrekken van vreemd geld.</w:t>
      </w:r>
    </w:p>
    <w:p w14:paraId="4AEDF418" w14:textId="141C79AF" w:rsidR="00020C49" w:rsidRDefault="00020C49" w:rsidP="005B1422">
      <w:pPr>
        <w:spacing w:line="276" w:lineRule="auto"/>
      </w:pPr>
      <w:r>
        <w:t xml:space="preserve">De primaire doelstelling van de </w:t>
      </w:r>
      <w:r w:rsidR="00ED62D7">
        <w:t>&lt;NAAM ORGANISATIE&gt;</w:t>
      </w:r>
      <w:r>
        <w:t xml:space="preserve"> is </w:t>
      </w:r>
      <w:r w:rsidR="005B1422">
        <w:t>vastgelegd in artikel 2 van de statu</w:t>
      </w:r>
      <w:r w:rsidR="00BA5E29">
        <w:t>t</w:t>
      </w:r>
      <w:r w:rsidR="005B1422">
        <w:t xml:space="preserve">en van de stichting. De </w:t>
      </w:r>
      <w:r w:rsidR="00ED62D7">
        <w:t>&lt;NAAM ORGANISATIE&gt;</w:t>
      </w:r>
      <w:r w:rsidR="005B1422">
        <w:t xml:space="preserve"> bevordert dat de gelden die zij ontvangt inzet op een dusdanige wijze dat het maatschappelijke rendement van de middelen zo groot mogelijk is</w:t>
      </w:r>
      <w:r w:rsidR="009B6014">
        <w:t xml:space="preserve"> en tegen een zo laag mogelijk aanvaardbaar risico</w:t>
      </w:r>
      <w:r w:rsidR="005B1422">
        <w:t>. Als gevolg hiervan is het financieren en beleggen ondergeschikt en dienend aan de primaire doelstelling.</w:t>
      </w:r>
    </w:p>
    <w:p w14:paraId="25BA26E5" w14:textId="5A3E2E49" w:rsidR="005B1422" w:rsidRDefault="005B1422" w:rsidP="005B1422">
      <w:pPr>
        <w:spacing w:line="276" w:lineRule="auto"/>
      </w:pPr>
      <w:r>
        <w:t xml:space="preserve">De algehele doelstelling van </w:t>
      </w:r>
      <w:r w:rsidR="005C0624">
        <w:t xml:space="preserve">de </w:t>
      </w:r>
      <w:proofErr w:type="spellStart"/>
      <w:r>
        <w:t>treasuryfunctie</w:t>
      </w:r>
      <w:proofErr w:type="spellEnd"/>
      <w:r>
        <w:t xml:space="preserve"> van de </w:t>
      </w:r>
      <w:r w:rsidR="00ED62D7">
        <w:t>&lt;NAAM ORGANISATIE&gt;</w:t>
      </w:r>
      <w:r>
        <w:t xml:space="preserve"> is dat deze de financiële continuïteit van de organisatie waarborgt. Dit wordt</w:t>
      </w:r>
      <w:r w:rsidR="003B1E50">
        <w:t xml:space="preserve"> nader uitgewerkt naar vermogensbeleid, beleggingsbeleid en </w:t>
      </w:r>
      <w:proofErr w:type="spellStart"/>
      <w:r w:rsidR="003B1E50">
        <w:t>governance</w:t>
      </w:r>
      <w:proofErr w:type="spellEnd"/>
      <w:r w:rsidR="003B1E50">
        <w:t>.</w:t>
      </w:r>
    </w:p>
    <w:p w14:paraId="7172E16D" w14:textId="77777777" w:rsidR="00747F00" w:rsidRDefault="00747F00" w:rsidP="005B1422">
      <w:pPr>
        <w:spacing w:line="276" w:lineRule="auto"/>
      </w:pPr>
    </w:p>
    <w:p w14:paraId="5F3F0250" w14:textId="77777777" w:rsidR="00A47C46" w:rsidRDefault="00A47C46" w:rsidP="00096AE0">
      <w:pPr>
        <w:pStyle w:val="Kop2"/>
      </w:pPr>
      <w:bookmarkStart w:id="4" w:name="_Toc529964413"/>
      <w:r>
        <w:t>Verantwoordelijkheid van het bestuur</w:t>
      </w:r>
      <w:bookmarkEnd w:id="4"/>
    </w:p>
    <w:p w14:paraId="0F48B0AD" w14:textId="77777777" w:rsidR="0003719B" w:rsidRDefault="00A47C46" w:rsidP="003A7045">
      <w:pPr>
        <w:spacing w:line="276" w:lineRule="auto"/>
      </w:pPr>
      <w:r>
        <w:t>Het bestuur is verantwoordelijk voor het voeren van een financieel beleid. Daaronder wordt</w:t>
      </w:r>
      <w:r w:rsidR="0003719B">
        <w:t xml:space="preserve"> </w:t>
      </w:r>
      <w:r>
        <w:t>mede verstaan het beleid met betrekking tot het aanhouden of opbouwen van reserves en</w:t>
      </w:r>
      <w:r w:rsidR="0003719B">
        <w:t xml:space="preserve"> </w:t>
      </w:r>
      <w:r>
        <w:t>fondsen en het voeren van beleid inzake een verantwoord beheer.</w:t>
      </w:r>
    </w:p>
    <w:p w14:paraId="72AE88C1" w14:textId="77777777" w:rsidR="00747F00" w:rsidRDefault="00747F00" w:rsidP="003A7045">
      <w:pPr>
        <w:spacing w:line="276" w:lineRule="auto"/>
      </w:pPr>
    </w:p>
    <w:p w14:paraId="2CC13EE3" w14:textId="77777777" w:rsidR="005A23EE" w:rsidRPr="00096AE0" w:rsidRDefault="003B1E50" w:rsidP="00096AE0">
      <w:pPr>
        <w:pStyle w:val="Kop2"/>
      </w:pPr>
      <w:bookmarkStart w:id="5" w:name="_Toc529964414"/>
      <w:r>
        <w:t>Liquiditeit</w:t>
      </w:r>
      <w:bookmarkEnd w:id="5"/>
    </w:p>
    <w:p w14:paraId="0C965E2A" w14:textId="0FAB5949" w:rsidR="003B1E50" w:rsidRDefault="003B1E50" w:rsidP="00A47C46">
      <w:pPr>
        <w:spacing w:line="276" w:lineRule="auto"/>
      </w:pPr>
      <w:r>
        <w:t xml:space="preserve">De </w:t>
      </w:r>
      <w:r w:rsidR="00ED62D7">
        <w:t>&lt;NAAM ORGANISATIE&gt;</w:t>
      </w:r>
      <w:r>
        <w:t xml:space="preserve"> zal er van verzekerd moeten zijn te allen tijde aan haar verplichtingen te kunnen voldoen en zo nodig ook altijd middelen te kunnen aantrekken. Het beschikbaar hebben van middelen zal zowel op korte als op lange termijn verzekerd moeten zijn. Voor het plannen van de omvang en het tijdstip waarop middelen benodigd zijn, is een goede informatievoorziening vanuit de organisatie noodzakelijk. Het gaat dan met name om inzicht in de kasstromen die de bedrijfsprocessen met zich meebrengen.</w:t>
      </w:r>
    </w:p>
    <w:p w14:paraId="7FA7209C" w14:textId="77777777" w:rsidR="00175DBA" w:rsidRPr="0098475D" w:rsidRDefault="003B1E50" w:rsidP="00A47C46">
      <w:pPr>
        <w:spacing w:line="276" w:lineRule="auto"/>
      </w:pPr>
      <w:r w:rsidRPr="0098475D">
        <w:lastRenderedPageBreak/>
        <w:t>In het geval van (tijdelijk) overtollige middelen kan dit aanleiding zijn om een deel van de beschikbare middelen liquide aan te houden en het resterende deel zodanig te beleggen dat dit zonder al te veel kosten (eventueel snel) liquide is te maken.</w:t>
      </w:r>
      <w:r w:rsidR="00175DBA" w:rsidRPr="0098475D">
        <w:t xml:space="preserve"> De hoogte van dit beleggingsbedrag en de termijn van uitzetting zijn afhankelijk van de te verwachten inkomsten en uitgaven op basis van het </w:t>
      </w:r>
      <w:proofErr w:type="spellStart"/>
      <w:r w:rsidR="00175DBA" w:rsidRPr="0098475D">
        <w:t>treasuryplan</w:t>
      </w:r>
      <w:proofErr w:type="spellEnd"/>
      <w:r w:rsidR="00175DBA" w:rsidRPr="0098475D">
        <w:t xml:space="preserve"> (zie hoofdstuk </w:t>
      </w:r>
      <w:r w:rsidR="000E599C">
        <w:t>6</w:t>
      </w:r>
      <w:r w:rsidR="00175DBA" w:rsidRPr="0098475D">
        <w:t>).</w:t>
      </w:r>
      <w:r w:rsidRPr="0098475D">
        <w:t xml:space="preserve"> </w:t>
      </w:r>
    </w:p>
    <w:p w14:paraId="499AF915" w14:textId="16A3BCAF" w:rsidR="003B1E50" w:rsidRDefault="006033F2" w:rsidP="00A47C46">
      <w:pPr>
        <w:spacing w:line="276" w:lineRule="auto"/>
      </w:pPr>
      <w:r w:rsidRPr="00B970D0">
        <w:t xml:space="preserve">Er wordt </w:t>
      </w:r>
      <w:r w:rsidR="00375E4E" w:rsidRPr="00B970D0">
        <w:t>naar gestreef</w:t>
      </w:r>
      <w:r w:rsidR="00B970D0" w:rsidRPr="00B970D0">
        <w:t>d</w:t>
      </w:r>
      <w:r w:rsidR="00375E4E" w:rsidRPr="00B970D0">
        <w:t xml:space="preserve"> </w:t>
      </w:r>
      <w:r w:rsidRPr="00B970D0">
        <w:t>een buffer in de liquide middelen aan</w:t>
      </w:r>
      <w:r w:rsidR="00375E4E" w:rsidRPr="00B970D0">
        <w:t xml:space="preserve"> te </w:t>
      </w:r>
      <w:r w:rsidRPr="00B970D0">
        <w:t xml:space="preserve">houden van </w:t>
      </w:r>
      <w:r w:rsidR="00ED62D7">
        <w:t>X</w:t>
      </w:r>
      <w:r w:rsidRPr="00B970D0">
        <w:t xml:space="preserve">% van de totale jaarlijkse uitgaande geldstroom. </w:t>
      </w:r>
      <w:r w:rsidR="00175DBA" w:rsidRPr="00B970D0">
        <w:t>Dit komt neer op ca. 1 week gemiddelde betaalcapaciteit.</w:t>
      </w:r>
      <w:r w:rsidR="00175DBA">
        <w:t xml:space="preserve"> </w:t>
      </w:r>
    </w:p>
    <w:p w14:paraId="59527092" w14:textId="77777777" w:rsidR="00747F00" w:rsidRDefault="00747F00" w:rsidP="00A47C46">
      <w:pPr>
        <w:spacing w:line="276" w:lineRule="auto"/>
      </w:pPr>
    </w:p>
    <w:p w14:paraId="4AB577FD" w14:textId="77777777" w:rsidR="00096AE0" w:rsidRDefault="003B1E50" w:rsidP="00096AE0">
      <w:pPr>
        <w:pStyle w:val="Kop2"/>
      </w:pPr>
      <w:bookmarkStart w:id="6" w:name="_Toc529964415"/>
      <w:r>
        <w:t>Beleggingen</w:t>
      </w:r>
      <w:bookmarkEnd w:id="6"/>
    </w:p>
    <w:p w14:paraId="2EC914C8" w14:textId="2A74377A" w:rsidR="00AB00D6" w:rsidRDefault="00891776" w:rsidP="003A7045">
      <w:pPr>
        <w:spacing w:line="276" w:lineRule="auto"/>
      </w:pPr>
      <w:r>
        <w:t xml:space="preserve">De </w:t>
      </w:r>
      <w:r w:rsidR="00ED62D7">
        <w:t>&lt;NAAM ORGANISATIE&gt;</w:t>
      </w:r>
      <w:r>
        <w:t xml:space="preserve"> belegt </w:t>
      </w:r>
      <w:r w:rsidR="00AB00D6">
        <w:t xml:space="preserve">de voor een periode van langer dan 1 jaar voorziene overtollige liquiditeiten in een portefeuille vermogensbeheer </w:t>
      </w:r>
      <w:r>
        <w:t xml:space="preserve">volgens de Richtlijn </w:t>
      </w:r>
      <w:r w:rsidR="00ED62D7">
        <w:t>Financieel Beheer (NB. Dit wordt ‘Handreiking’)</w:t>
      </w:r>
      <w:r>
        <w:t xml:space="preserve"> van Goede Doelen Nederland</w:t>
      </w:r>
      <w:r w:rsidR="005C0624">
        <w:t xml:space="preserve"> (GDN)</w:t>
      </w:r>
      <w:r>
        <w:t xml:space="preserve">. </w:t>
      </w:r>
      <w:r w:rsidR="00C270EA">
        <w:t xml:space="preserve">De portefeuille </w:t>
      </w:r>
      <w:r w:rsidR="00AB00D6">
        <w:t>vermogensbeheer is gericht op:</w:t>
      </w:r>
    </w:p>
    <w:p w14:paraId="732EF766" w14:textId="77777777" w:rsidR="00AB00D6" w:rsidRDefault="00AB00D6" w:rsidP="003A7045">
      <w:pPr>
        <w:pStyle w:val="Lijstalinea"/>
        <w:numPr>
          <w:ilvl w:val="0"/>
          <w:numId w:val="26"/>
        </w:numPr>
        <w:spacing w:line="276" w:lineRule="auto"/>
      </w:pPr>
      <w:r>
        <w:t>Het afzonderlijk beheren en zo veel mogelijk veiligstellen van reserves, voorzieningen en langlopende schulden;</w:t>
      </w:r>
    </w:p>
    <w:p w14:paraId="6BD5ED7A" w14:textId="77777777" w:rsidR="00AB00D6" w:rsidRDefault="00AB00D6" w:rsidP="003A7045">
      <w:pPr>
        <w:pStyle w:val="Lijstalinea"/>
        <w:numPr>
          <w:ilvl w:val="0"/>
          <w:numId w:val="26"/>
        </w:numPr>
        <w:spacing w:line="276" w:lineRule="auto"/>
      </w:pPr>
      <w:r>
        <w:t>Het bij een aanvaardbaar risico en binnen nader te geven kwalitatieve criteria behalen van een maximaal rendement op het uitzetten van tijdelijke en/of langdurige overtollige middelen.</w:t>
      </w:r>
    </w:p>
    <w:p w14:paraId="0904510B" w14:textId="4E79488D" w:rsidR="00096AE0" w:rsidRDefault="00891776" w:rsidP="003A7045">
      <w:pPr>
        <w:spacing w:line="276" w:lineRule="auto"/>
      </w:pPr>
      <w:r>
        <w:t xml:space="preserve">De </w:t>
      </w:r>
      <w:r w:rsidR="00ED62D7">
        <w:t>&lt;NAAM ORGANISATIE&gt;</w:t>
      </w:r>
      <w:r>
        <w:t xml:space="preserve"> voert een </w:t>
      </w:r>
      <w:r w:rsidR="00552438">
        <w:t>defensief</w:t>
      </w:r>
      <w:r>
        <w:t xml:space="preserve"> én duurzaam beleggingsbeleid, waarbij grotendeels in ter beurze genoteerde obligaties van Europese overheden en financiële instellingen wordt belegd. De belegging van haar reserves besteedt de </w:t>
      </w:r>
      <w:r w:rsidR="00ED62D7">
        <w:t>&lt;NAAM ORGANISATIE&gt;</w:t>
      </w:r>
      <w:r>
        <w:t xml:space="preserve"> met een mandaat vermogensbeheer uit aan </w:t>
      </w:r>
      <w:r w:rsidR="00EC25D8">
        <w:t xml:space="preserve">één of meerdere </w:t>
      </w:r>
      <w:r>
        <w:t>vermogensbeheerder</w:t>
      </w:r>
      <w:r w:rsidR="00EC25D8">
        <w:t>(s)</w:t>
      </w:r>
      <w:r w:rsidR="003214A8">
        <w:t xml:space="preserve"> (hierna Beheerder)</w:t>
      </w:r>
      <w:r>
        <w:t xml:space="preserve">. Het mandaat is vastgelegd in een beleggingsstatuut dat algemene, uitsluitings- en voorkeurscriteria bevat die de </w:t>
      </w:r>
      <w:r w:rsidR="00ED62D7">
        <w:t>&lt;NAAM ORGANISATIE&gt;</w:t>
      </w:r>
      <w:r>
        <w:t xml:space="preserve"> toepast bij de samenstelling en beoordeling </w:t>
      </w:r>
      <w:r w:rsidR="00AB00D6">
        <w:t xml:space="preserve">van de beleggingsportefeuille. </w:t>
      </w:r>
    </w:p>
    <w:p w14:paraId="05A5BFE2" w14:textId="77777777" w:rsidR="00747F00" w:rsidRDefault="00747F00" w:rsidP="003A7045">
      <w:pPr>
        <w:spacing w:line="276" w:lineRule="auto"/>
      </w:pPr>
    </w:p>
    <w:p w14:paraId="42BEED02" w14:textId="77777777" w:rsidR="002D4E1F" w:rsidRDefault="00891776" w:rsidP="00891776">
      <w:pPr>
        <w:pStyle w:val="Kop2"/>
      </w:pPr>
      <w:bookmarkStart w:id="7" w:name="_Toc529964416"/>
      <w:r>
        <w:t>Betalingsverkeer</w:t>
      </w:r>
      <w:bookmarkEnd w:id="7"/>
    </w:p>
    <w:p w14:paraId="31975080" w14:textId="465AD02A" w:rsidR="00096AE0" w:rsidRDefault="00891776" w:rsidP="003A7045">
      <w:pPr>
        <w:spacing w:line="276" w:lineRule="auto"/>
      </w:pPr>
      <w:r>
        <w:t xml:space="preserve">Gezien de omvang van het betalingsverkeer is het van belang dat de financiële logistiek optimaal is ingericht. De </w:t>
      </w:r>
      <w:r w:rsidR="00ED62D7">
        <w:t>&lt;NAAM ORGANISATIE&gt;</w:t>
      </w:r>
      <w:r>
        <w:t xml:space="preserve"> richt haar betalingsverkeer zo in dat het kosteneffectief kan worden beheerd. De bankrelaties van de </w:t>
      </w:r>
      <w:r w:rsidR="00ED62D7">
        <w:t>&lt;NAAM ORGANISATIE&gt;</w:t>
      </w:r>
      <w:r>
        <w:t xml:space="preserve"> zullen minimaal eens in het jaar, afhankelijk van de met de betreffende bank(en) gemaakte afspraken, worden geëvalueerd.</w:t>
      </w:r>
      <w:r w:rsidRPr="00096AE0">
        <w:t xml:space="preserve"> </w:t>
      </w:r>
    </w:p>
    <w:p w14:paraId="14F8121F" w14:textId="77777777" w:rsidR="00891776" w:rsidRDefault="00891776" w:rsidP="00096AE0"/>
    <w:p w14:paraId="0BDBFE04" w14:textId="77777777" w:rsidR="000E599C" w:rsidRDefault="000E599C" w:rsidP="000E599C">
      <w:pPr>
        <w:pStyle w:val="Kop1"/>
        <w:spacing w:line="240" w:lineRule="auto"/>
      </w:pPr>
      <w:bookmarkStart w:id="8" w:name="_Toc529964417"/>
      <w:proofErr w:type="spellStart"/>
      <w:r>
        <w:t>Governance</w:t>
      </w:r>
      <w:bookmarkEnd w:id="8"/>
      <w:proofErr w:type="spellEnd"/>
    </w:p>
    <w:p w14:paraId="11AC8F43" w14:textId="443D50C7" w:rsidR="000E599C" w:rsidRDefault="000E599C" w:rsidP="000E599C">
      <w:pPr>
        <w:spacing w:line="276" w:lineRule="auto"/>
      </w:pPr>
      <w:r>
        <w:t xml:space="preserve">In dit hoofdstuk van het </w:t>
      </w:r>
      <w:proofErr w:type="spellStart"/>
      <w:r>
        <w:t>treasurystatuut</w:t>
      </w:r>
      <w:proofErr w:type="spellEnd"/>
      <w:r>
        <w:t xml:space="preserve"> wordt een bondige AO-beschrijving gegeven van de </w:t>
      </w:r>
      <w:proofErr w:type="spellStart"/>
      <w:r>
        <w:t>treasuryfunctie</w:t>
      </w:r>
      <w:proofErr w:type="spellEnd"/>
      <w:r>
        <w:t xml:space="preserve"> binnen de </w:t>
      </w:r>
      <w:r w:rsidR="00ED62D7">
        <w:t>&lt;NAAM ORGANISATIE&gt;</w:t>
      </w:r>
      <w:r>
        <w:t>.</w:t>
      </w:r>
    </w:p>
    <w:p w14:paraId="2400AC79" w14:textId="77777777" w:rsidR="00747F00" w:rsidRDefault="00747F00" w:rsidP="000E599C">
      <w:pPr>
        <w:spacing w:line="276" w:lineRule="auto"/>
      </w:pPr>
    </w:p>
    <w:p w14:paraId="48E55B19" w14:textId="77777777" w:rsidR="000E599C" w:rsidRDefault="000E599C" w:rsidP="000E599C">
      <w:pPr>
        <w:pStyle w:val="Kop2"/>
      </w:pPr>
      <w:bookmarkStart w:id="9" w:name="_Toc529964418"/>
      <w:r>
        <w:t>Plaats binnen de organisatie</w:t>
      </w:r>
      <w:bookmarkEnd w:id="9"/>
    </w:p>
    <w:p w14:paraId="21E4B051" w14:textId="77777777" w:rsidR="000E599C" w:rsidRDefault="000E599C" w:rsidP="000E599C">
      <w:pPr>
        <w:pStyle w:val="Lijstalinea"/>
        <w:numPr>
          <w:ilvl w:val="0"/>
          <w:numId w:val="30"/>
        </w:numPr>
        <w:spacing w:line="276" w:lineRule="auto"/>
      </w:pPr>
      <w:r>
        <w:t xml:space="preserve">Het </w:t>
      </w:r>
      <w:proofErr w:type="spellStart"/>
      <w:r>
        <w:t>treasurystatuut</w:t>
      </w:r>
      <w:proofErr w:type="spellEnd"/>
      <w:r>
        <w:t xml:space="preserve"> wordt vastgesteld door de Raad van Toezicht;</w:t>
      </w:r>
    </w:p>
    <w:p w14:paraId="5D4CCBEC" w14:textId="77777777" w:rsidR="000E599C" w:rsidRDefault="000E599C" w:rsidP="000E599C">
      <w:pPr>
        <w:pStyle w:val="Lijstalinea"/>
        <w:numPr>
          <w:ilvl w:val="0"/>
          <w:numId w:val="30"/>
        </w:numPr>
        <w:spacing w:line="276" w:lineRule="auto"/>
      </w:pPr>
      <w:r>
        <w:t>De Audit Commissie adviseert de Raad van Toezicht in deze;</w:t>
      </w:r>
    </w:p>
    <w:p w14:paraId="6637F4EC" w14:textId="77777777" w:rsidR="000E599C" w:rsidRPr="00C0430F" w:rsidRDefault="000E599C" w:rsidP="000E599C">
      <w:pPr>
        <w:pStyle w:val="Lijstalinea"/>
        <w:numPr>
          <w:ilvl w:val="0"/>
          <w:numId w:val="30"/>
        </w:numPr>
        <w:spacing w:line="276" w:lineRule="auto"/>
      </w:pPr>
      <w:r w:rsidRPr="00C0430F">
        <w:t xml:space="preserve">De uitvoering van de </w:t>
      </w:r>
      <w:proofErr w:type="spellStart"/>
      <w:r w:rsidRPr="00C0430F">
        <w:t>treasuryfunctie</w:t>
      </w:r>
      <w:proofErr w:type="spellEnd"/>
      <w:r w:rsidRPr="00C0430F">
        <w:t xml:space="preserve"> wordt opgedragen aan de bestuurder die dit delegeert aan de Manager Bedrijfsvoering;</w:t>
      </w:r>
    </w:p>
    <w:p w14:paraId="0BBBF9EC" w14:textId="77777777" w:rsidR="000E599C" w:rsidRDefault="000E599C" w:rsidP="000E599C">
      <w:pPr>
        <w:pStyle w:val="Lijstalinea"/>
        <w:numPr>
          <w:ilvl w:val="0"/>
          <w:numId w:val="30"/>
        </w:numPr>
        <w:spacing w:line="276" w:lineRule="auto"/>
      </w:pPr>
      <w:r>
        <w:t xml:space="preserve">De bestuurder is verantwoordelijk voor de totale uitvoering van het </w:t>
      </w:r>
      <w:proofErr w:type="spellStart"/>
      <w:r>
        <w:t>treasurybeleid</w:t>
      </w:r>
      <w:proofErr w:type="spellEnd"/>
      <w:r>
        <w:t>.</w:t>
      </w:r>
    </w:p>
    <w:p w14:paraId="456F93B2" w14:textId="77777777" w:rsidR="00747F00" w:rsidRDefault="00747F00" w:rsidP="00B10B54">
      <w:pPr>
        <w:pStyle w:val="Lijstalinea"/>
        <w:spacing w:line="276" w:lineRule="auto"/>
        <w:ind w:left="360"/>
      </w:pPr>
    </w:p>
    <w:p w14:paraId="64820002" w14:textId="77777777" w:rsidR="00747F00" w:rsidRDefault="00747F00">
      <w:pPr>
        <w:spacing w:before="0" w:line="240" w:lineRule="auto"/>
        <w:rPr>
          <w:b/>
        </w:rPr>
      </w:pPr>
      <w:r>
        <w:br w:type="page"/>
      </w:r>
    </w:p>
    <w:p w14:paraId="6A473F97" w14:textId="77777777" w:rsidR="000E599C" w:rsidRDefault="000E599C" w:rsidP="000E599C">
      <w:pPr>
        <w:pStyle w:val="Kop2"/>
      </w:pPr>
      <w:bookmarkStart w:id="10" w:name="_Toc529964419"/>
      <w:r>
        <w:lastRenderedPageBreak/>
        <w:t>Audit Commissie</w:t>
      </w:r>
      <w:bookmarkEnd w:id="10"/>
    </w:p>
    <w:p w14:paraId="4A5F6F27" w14:textId="64374307" w:rsidR="000E599C" w:rsidRDefault="000E599C" w:rsidP="000E599C">
      <w:r w:rsidRPr="00D06B61">
        <w:t xml:space="preserve">De Raad van Toezicht laat zich in </w:t>
      </w:r>
      <w:proofErr w:type="spellStart"/>
      <w:r w:rsidRPr="00D06B61">
        <w:t>treasury</w:t>
      </w:r>
      <w:proofErr w:type="spellEnd"/>
      <w:r w:rsidRPr="00D06B61">
        <w:t xml:space="preserve">-aangelegenheden bijstaan door de Audit Commissie. De Audit Commissie vergadert </w:t>
      </w:r>
      <w:r w:rsidR="00464B96">
        <w:t>5</w:t>
      </w:r>
      <w:r w:rsidRPr="00D06B61">
        <w:t xml:space="preserve"> keer per jaar. Tijdens de vergadering worden in ieder geval de (eventuele) uitzonderingsrapportages besproken. Voor het begin van het nieuwe jaar worden de data vastgesteld waarop de Audit Commissie vergadert. In elk geval bij de begroting zal de Audit Commissie </w:t>
      </w:r>
      <w:r>
        <w:t>adviseren</w:t>
      </w:r>
      <w:r w:rsidRPr="00D06B61">
        <w:t xml:space="preserve"> in welke mate bij de financieringsbehoefte sprake zal zijn van jaarlijks terugkerende, en dus structurele, elementen die van invloed kunnen zijn op de afweging tussen korte en lange financiering.</w:t>
      </w:r>
    </w:p>
    <w:p w14:paraId="4A380934" w14:textId="77777777" w:rsidR="00747F00" w:rsidRPr="00D06B61" w:rsidRDefault="00747F00" w:rsidP="000E599C"/>
    <w:p w14:paraId="62C5E828" w14:textId="77777777" w:rsidR="000E599C" w:rsidRDefault="000E599C" w:rsidP="000E599C">
      <w:pPr>
        <w:pStyle w:val="Kop2"/>
      </w:pPr>
      <w:bookmarkStart w:id="11" w:name="_Toc529964420"/>
      <w:r>
        <w:t>Besluitvorming</w:t>
      </w:r>
      <w:bookmarkEnd w:id="11"/>
    </w:p>
    <w:p w14:paraId="5D681F52" w14:textId="77777777" w:rsidR="000E599C" w:rsidRDefault="000E599C" w:rsidP="000E599C">
      <w:pPr>
        <w:pStyle w:val="Lijstalinea"/>
        <w:numPr>
          <w:ilvl w:val="0"/>
          <w:numId w:val="30"/>
        </w:numPr>
        <w:spacing w:line="276" w:lineRule="auto"/>
      </w:pPr>
      <w:r>
        <w:t>Beleid: Wijzigingen in het beleid worden alleen van kracht als de Raad van Toezicht daartoe heeft besloten. Voorstellen tot beleidswijzigingen worden gedaan door het bestuur;</w:t>
      </w:r>
    </w:p>
    <w:p w14:paraId="7E866FFE" w14:textId="77777777" w:rsidR="000E599C" w:rsidRDefault="000E599C" w:rsidP="000E599C">
      <w:pPr>
        <w:pStyle w:val="Lijstalinea"/>
        <w:numPr>
          <w:ilvl w:val="0"/>
          <w:numId w:val="30"/>
        </w:numPr>
        <w:spacing w:line="276" w:lineRule="auto"/>
      </w:pPr>
      <w:proofErr w:type="spellStart"/>
      <w:r>
        <w:t>Treasuryplan</w:t>
      </w:r>
      <w:proofErr w:type="spellEnd"/>
      <w:r>
        <w:t xml:space="preserve">: Het </w:t>
      </w:r>
      <w:proofErr w:type="spellStart"/>
      <w:r>
        <w:t>treasuryplan</w:t>
      </w:r>
      <w:proofErr w:type="spellEnd"/>
      <w:r>
        <w:t xml:space="preserve"> maakt onderdeel uit van de begrotingsstukken en is daarbij onderdeel van beoordeling door de Raad van Toezicht. Middels goedkeuring van </w:t>
      </w:r>
      <w:r w:rsidR="00074613">
        <w:t>de begroting</w:t>
      </w:r>
      <w:r>
        <w:t xml:space="preserve"> verleent de Raad van Toezicht mandaat aan het bestuur om te handelen volgens de inhoud van het </w:t>
      </w:r>
      <w:proofErr w:type="spellStart"/>
      <w:r w:rsidR="00074613">
        <w:t>treasury</w:t>
      </w:r>
      <w:r>
        <w:t>plan</w:t>
      </w:r>
      <w:proofErr w:type="spellEnd"/>
      <w:r>
        <w:t>;</w:t>
      </w:r>
    </w:p>
    <w:p w14:paraId="06835000" w14:textId="77777777" w:rsidR="000E599C" w:rsidRDefault="000E599C" w:rsidP="000E599C">
      <w:pPr>
        <w:pStyle w:val="Lijstalinea"/>
        <w:numPr>
          <w:ilvl w:val="0"/>
          <w:numId w:val="30"/>
        </w:numPr>
        <w:spacing w:line="276" w:lineRule="auto"/>
      </w:pPr>
      <w:r>
        <w:t xml:space="preserve">Uitzonderingen: Indien er wijzigingen ontstaan, zodanig dat als gevolg hiervan andere beslissingen genomen moeten worden dan in het </w:t>
      </w:r>
      <w:proofErr w:type="spellStart"/>
      <w:r>
        <w:t>treasuryplan</w:t>
      </w:r>
      <w:proofErr w:type="spellEnd"/>
      <w:r>
        <w:t xml:space="preserve"> zijn opgenomen of indien het bestuur instrumenten in wil zetten die niet zijn aangegeven in het </w:t>
      </w:r>
      <w:proofErr w:type="spellStart"/>
      <w:r>
        <w:t>treasuryplan</w:t>
      </w:r>
      <w:proofErr w:type="spellEnd"/>
      <w:r>
        <w:t xml:space="preserve"> levert het bestuur een uitzonderingsrapportage en bespreekt dit met de Raad van Toezicht. Slechts na verkregen instemming van de Raad van Toezicht mag door het bestuur actie worden ondernomen.</w:t>
      </w:r>
    </w:p>
    <w:p w14:paraId="76A0B2B0" w14:textId="77777777" w:rsidR="00747F00" w:rsidRDefault="00747F00" w:rsidP="000E599C">
      <w:pPr>
        <w:pStyle w:val="Lijstalinea"/>
        <w:numPr>
          <w:ilvl w:val="0"/>
          <w:numId w:val="30"/>
        </w:numPr>
        <w:spacing w:line="276" w:lineRule="auto"/>
      </w:pPr>
    </w:p>
    <w:p w14:paraId="0DF40DF7" w14:textId="77777777" w:rsidR="000E599C" w:rsidRDefault="000E599C" w:rsidP="000E599C">
      <w:pPr>
        <w:pStyle w:val="Kop2"/>
      </w:pPr>
      <w:bookmarkStart w:id="12" w:name="_Toc529964421"/>
      <w:r>
        <w:t>Uitvoering beleid</w:t>
      </w:r>
      <w:bookmarkEnd w:id="12"/>
    </w:p>
    <w:p w14:paraId="66C8724D" w14:textId="77777777" w:rsidR="000E599C" w:rsidRDefault="000E599C" w:rsidP="000E599C">
      <w:r>
        <w:t xml:space="preserve">Het </w:t>
      </w:r>
      <w:proofErr w:type="spellStart"/>
      <w:r>
        <w:t>treasurybeleid</w:t>
      </w:r>
      <w:proofErr w:type="spellEnd"/>
      <w:r>
        <w:t xml:space="preserve"> zal worden uitgevoerd door de Manager Bedrijfsvoering. De Manager Bedrijfsvoering mag daarbij, indien gewenst, extern advies inwinnen. Voor het aangaan van kredietovereenkomsten (bijvoorbeeld rekening courant krediet, kasgeldleningen, onderhandse en andere meerjarige leningen) worden minstens 3 offertes aangevraagd.</w:t>
      </w:r>
    </w:p>
    <w:p w14:paraId="32D5EF4E" w14:textId="77777777" w:rsidR="000E599C" w:rsidRDefault="000E599C" w:rsidP="000E599C">
      <w:r>
        <w:t>Het besluit tot het aangaan van de betreffende kredietovereenkomsten wordt genomen door de bestuurder. Hetzelfde geldt voor overeenkomsten inzake beleggingen (beheer en/of advies) en betalingsverkeer.</w:t>
      </w:r>
    </w:p>
    <w:p w14:paraId="544A5C6D" w14:textId="77777777" w:rsidR="00747F00" w:rsidRDefault="00747F00" w:rsidP="000E599C"/>
    <w:p w14:paraId="43C89A50" w14:textId="77777777" w:rsidR="000E599C" w:rsidRDefault="000E599C" w:rsidP="000E599C">
      <w:pPr>
        <w:pStyle w:val="Kop2"/>
      </w:pPr>
      <w:bookmarkStart w:id="13" w:name="_Toc529964422"/>
      <w:r>
        <w:t xml:space="preserve">Evaluatie </w:t>
      </w:r>
      <w:proofErr w:type="spellStart"/>
      <w:r>
        <w:t>Treasurystatuut</w:t>
      </w:r>
      <w:bookmarkEnd w:id="13"/>
      <w:proofErr w:type="spellEnd"/>
    </w:p>
    <w:p w14:paraId="01D4CB4E" w14:textId="77777777" w:rsidR="000E599C" w:rsidRDefault="000E599C" w:rsidP="000E599C">
      <w:r>
        <w:t>Dit statuut wordt uiterlijk na 2 jaar geëvalueerd en eventueel aangepast. Die evaluatie vindt plaats in een vergadering van de Raad van Toezicht. De Raad van Toezicht besluit naar aanleiding daarvan al dan niet tot eventuele aanpassingen.</w:t>
      </w:r>
    </w:p>
    <w:p w14:paraId="5B881373" w14:textId="77777777" w:rsidR="00747F00" w:rsidRDefault="00747F00" w:rsidP="000E599C"/>
    <w:p w14:paraId="0E5F11C0" w14:textId="77777777" w:rsidR="000E599C" w:rsidRDefault="000E599C" w:rsidP="000E599C">
      <w:pPr>
        <w:pStyle w:val="Kop2"/>
      </w:pPr>
      <w:bookmarkStart w:id="14" w:name="_Toc529964423"/>
      <w:r>
        <w:t>Controle accountant</w:t>
      </w:r>
      <w:bookmarkEnd w:id="14"/>
    </w:p>
    <w:p w14:paraId="7038BD9A" w14:textId="54FB30CB" w:rsidR="000E599C" w:rsidRDefault="000E599C" w:rsidP="000E599C">
      <w:r>
        <w:t xml:space="preserve">De externe accountant zal in de reguliere controle van de jaarrekening een rapportage opnemen over de financiële positie van de </w:t>
      </w:r>
      <w:r w:rsidR="00ED62D7">
        <w:t>&lt;NAAM ORGANISATIE&gt;</w:t>
      </w:r>
      <w:r>
        <w:t xml:space="preserve"> en over de naleving van het </w:t>
      </w:r>
      <w:proofErr w:type="spellStart"/>
      <w:r>
        <w:t>treasurystatuut</w:t>
      </w:r>
      <w:proofErr w:type="spellEnd"/>
      <w:r>
        <w:t>.</w:t>
      </w:r>
    </w:p>
    <w:p w14:paraId="4BCEA864" w14:textId="77777777" w:rsidR="000E599C" w:rsidRDefault="000E599C" w:rsidP="000E599C"/>
    <w:p w14:paraId="521EF073" w14:textId="77777777" w:rsidR="00747F00" w:rsidRDefault="00747F00">
      <w:pPr>
        <w:spacing w:before="0" w:line="240" w:lineRule="auto"/>
        <w:rPr>
          <w:b/>
          <w:sz w:val="28"/>
        </w:rPr>
      </w:pPr>
      <w:r>
        <w:br w:type="page"/>
      </w:r>
    </w:p>
    <w:p w14:paraId="07FB49BE" w14:textId="77777777" w:rsidR="00891776" w:rsidRPr="00A060DA" w:rsidRDefault="00891776" w:rsidP="00891776">
      <w:pPr>
        <w:pStyle w:val="Kop1"/>
        <w:spacing w:line="240" w:lineRule="auto"/>
      </w:pPr>
      <w:bookmarkStart w:id="15" w:name="_Toc529964424"/>
      <w:r>
        <w:lastRenderedPageBreak/>
        <w:t>Vermogensbeleid</w:t>
      </w:r>
      <w:bookmarkEnd w:id="15"/>
    </w:p>
    <w:p w14:paraId="4E48A8F5" w14:textId="7EFB4F0C" w:rsidR="00891776" w:rsidRDefault="00891776" w:rsidP="003A7045">
      <w:pPr>
        <w:spacing w:line="276" w:lineRule="auto"/>
      </w:pPr>
      <w:r>
        <w:t xml:space="preserve">De </w:t>
      </w:r>
      <w:r w:rsidR="00ED62D7">
        <w:t>&lt;NAAM ORGANISATIE&gt;</w:t>
      </w:r>
      <w:r>
        <w:t xml:space="preserve"> is een professionele non-profit organisatie die onderzoeks- en patiëntenzorgprogramma’s ondersteunt en financiert. Projecten en (wetenschappelijk) onderzoek worden bijna volledig gefinancierd uit giften van particulieren en bedrijven. Om te zorgen dat de </w:t>
      </w:r>
      <w:r w:rsidR="00ED62D7">
        <w:t>&lt;NAAM ORGANISATIE&gt;</w:t>
      </w:r>
      <w:r>
        <w:t xml:space="preserve"> haar </w:t>
      </w:r>
      <w:r w:rsidR="00375E4E">
        <w:t xml:space="preserve">middellange en </w:t>
      </w:r>
      <w:r w:rsidR="00EC25D8">
        <w:t xml:space="preserve">langlopende </w:t>
      </w:r>
      <w:r>
        <w:t xml:space="preserve">verplichtingen </w:t>
      </w:r>
      <w:r w:rsidR="00EC25D8">
        <w:t>(</w:t>
      </w:r>
      <w:r>
        <w:t>voor bijvoorbeeld onderzoek</w:t>
      </w:r>
      <w:r w:rsidR="00EC25D8">
        <w:t>)</w:t>
      </w:r>
      <w:r>
        <w:t xml:space="preserve"> kan nakomen - ook als de inkomsten tegenvallen - zijn financiële reserves noodzakelijk. </w:t>
      </w:r>
    </w:p>
    <w:p w14:paraId="54869BEA" w14:textId="77777777" w:rsidR="00747F00" w:rsidRDefault="00747F00" w:rsidP="003A7045">
      <w:pPr>
        <w:spacing w:line="276" w:lineRule="auto"/>
      </w:pPr>
    </w:p>
    <w:p w14:paraId="4B1842D6" w14:textId="77777777" w:rsidR="00891776" w:rsidRPr="003214A8" w:rsidRDefault="00891776" w:rsidP="003214A8">
      <w:pPr>
        <w:pStyle w:val="Kop2"/>
      </w:pPr>
      <w:bookmarkStart w:id="16" w:name="_Toc529964425"/>
      <w:r w:rsidRPr="003214A8">
        <w:t>Reserves en fondsen</w:t>
      </w:r>
      <w:bookmarkEnd w:id="16"/>
    </w:p>
    <w:p w14:paraId="7CC8FBFB" w14:textId="77777777" w:rsidR="00891776" w:rsidRDefault="00891776" w:rsidP="003A7045">
      <w:pPr>
        <w:spacing w:line="276" w:lineRule="auto"/>
      </w:pPr>
      <w:r>
        <w:t>Er wordt een onderscheid gemaakt tussen een reserve en een fonds. Wanneer door een derde aan een deel van de middelen een specifieke bestemming is gegeven betreft het een fonds. Wanneer het bestuur</w:t>
      </w:r>
      <w:r w:rsidR="00EC25D8">
        <w:t xml:space="preserve">, met goedkeuring van de Raad van Toezicht, </w:t>
      </w:r>
      <w:r>
        <w:t xml:space="preserve">een bestemming aan de middelen heeft gegeven, is er sprake van een reserve. Uitgangspunt is dat geen reserves worden gevormd zonder vooraf bepaalde bestemming en dat reservering van middelen wenselijk is voor de continuïteit van </w:t>
      </w:r>
      <w:r w:rsidR="00EC25D8">
        <w:t>financiering van</w:t>
      </w:r>
      <w:r>
        <w:t xml:space="preserve"> de doelstelling. Het aanhouden of opbouwen van reserves is dan ook slechts in een beperkt aantal gevallen toegestaan.</w:t>
      </w:r>
    </w:p>
    <w:p w14:paraId="4577D022" w14:textId="77777777" w:rsidR="00891776" w:rsidRDefault="00891776" w:rsidP="003A7045">
      <w:pPr>
        <w:spacing w:line="276" w:lineRule="auto"/>
      </w:pPr>
      <w:r>
        <w:t>Richtlijn voor de jaarverslaggeving RJ650 onderscheidt vier verschillende reserves:</w:t>
      </w:r>
    </w:p>
    <w:p w14:paraId="20787D3F" w14:textId="77777777" w:rsidR="00891776" w:rsidRDefault="00961CC6" w:rsidP="003A7045">
      <w:pPr>
        <w:pStyle w:val="Lijstalinea"/>
        <w:numPr>
          <w:ilvl w:val="0"/>
          <w:numId w:val="27"/>
        </w:numPr>
        <w:spacing w:line="276" w:lineRule="auto"/>
      </w:pPr>
      <w:r>
        <w:t>C</w:t>
      </w:r>
      <w:r w:rsidR="00891776">
        <w:t>ontinuïteitsreserve;</w:t>
      </w:r>
    </w:p>
    <w:p w14:paraId="4969AC02" w14:textId="77777777" w:rsidR="00891776" w:rsidRDefault="00961CC6" w:rsidP="003A7045">
      <w:pPr>
        <w:pStyle w:val="Lijstalinea"/>
        <w:numPr>
          <w:ilvl w:val="0"/>
          <w:numId w:val="27"/>
        </w:numPr>
        <w:spacing w:line="276" w:lineRule="auto"/>
      </w:pPr>
      <w:r>
        <w:t>B</w:t>
      </w:r>
      <w:r w:rsidR="00891776">
        <w:t>estemmingsreserve;</w:t>
      </w:r>
    </w:p>
    <w:p w14:paraId="75F8A58F" w14:textId="77777777" w:rsidR="00891776" w:rsidRDefault="00961CC6" w:rsidP="003A7045">
      <w:pPr>
        <w:pStyle w:val="Lijstalinea"/>
        <w:numPr>
          <w:ilvl w:val="0"/>
          <w:numId w:val="27"/>
        </w:numPr>
        <w:spacing w:line="276" w:lineRule="auto"/>
      </w:pPr>
      <w:r>
        <w:t>H</w:t>
      </w:r>
      <w:r w:rsidR="00891776">
        <w:t>erwaarderingsreserve;</w:t>
      </w:r>
    </w:p>
    <w:p w14:paraId="5EF4612C" w14:textId="77777777" w:rsidR="00891776" w:rsidRDefault="00961CC6" w:rsidP="003A7045">
      <w:pPr>
        <w:pStyle w:val="Lijstalinea"/>
        <w:numPr>
          <w:ilvl w:val="0"/>
          <w:numId w:val="27"/>
        </w:numPr>
        <w:spacing w:line="276" w:lineRule="auto"/>
      </w:pPr>
      <w:r>
        <w:t>O</w:t>
      </w:r>
      <w:r w:rsidR="00DC0F18">
        <w:t>verige reserve</w:t>
      </w:r>
      <w:r w:rsidR="00891776">
        <w:t>.</w:t>
      </w:r>
    </w:p>
    <w:p w14:paraId="6040C97F" w14:textId="77777777" w:rsidR="00747F00" w:rsidRDefault="00747F00" w:rsidP="003A7045">
      <w:pPr>
        <w:pStyle w:val="Lijstalinea"/>
        <w:numPr>
          <w:ilvl w:val="0"/>
          <w:numId w:val="27"/>
        </w:numPr>
        <w:spacing w:line="276" w:lineRule="auto"/>
      </w:pPr>
    </w:p>
    <w:p w14:paraId="307EF849" w14:textId="77777777" w:rsidR="00891776" w:rsidRPr="003214A8" w:rsidRDefault="00891776" w:rsidP="003214A8">
      <w:pPr>
        <w:pStyle w:val="Kop2"/>
      </w:pPr>
      <w:bookmarkStart w:id="17" w:name="_Toc529964426"/>
      <w:r w:rsidRPr="003214A8">
        <w:t>Continuïteitsreserve</w:t>
      </w:r>
      <w:bookmarkEnd w:id="17"/>
    </w:p>
    <w:p w14:paraId="1207D89F" w14:textId="4F578A18" w:rsidR="00891776" w:rsidRDefault="00891776" w:rsidP="003A7045">
      <w:pPr>
        <w:spacing w:line="276" w:lineRule="auto"/>
      </w:pPr>
      <w:r>
        <w:t xml:space="preserve">Een continuïteitsreserve wordt gevormd voor de dekking van risico's op korte termijn en </w:t>
      </w:r>
      <w:r w:rsidR="003001CE">
        <w:t xml:space="preserve">dient als zekerheid </w:t>
      </w:r>
      <w:r w:rsidR="00425817">
        <w:t xml:space="preserve">voor het voortbestaan van de organisatie of voor eventuele afbouw van activiteiten. </w:t>
      </w:r>
      <w:r>
        <w:t xml:space="preserve">De </w:t>
      </w:r>
      <w:r w:rsidR="00ED62D7">
        <w:t>&lt;NAAM ORGANISATIE&gt;</w:t>
      </w:r>
      <w:r w:rsidR="001D658C">
        <w:t xml:space="preserve"> vermeld</w:t>
      </w:r>
      <w:r>
        <w:t xml:space="preserve"> in de toelichting bij de balans de door haar noodzakelijk geachte omvang van de</w:t>
      </w:r>
      <w:r w:rsidR="001D658C">
        <w:t xml:space="preserve"> </w:t>
      </w:r>
      <w:r>
        <w:t>continuïteitsreserve alsmede de daaraan ten grondslag liggende veronderstellingen.</w:t>
      </w:r>
    </w:p>
    <w:p w14:paraId="520E05E8" w14:textId="77777777" w:rsidR="001D658C" w:rsidRDefault="001D658C" w:rsidP="003A7045">
      <w:pPr>
        <w:spacing w:line="276" w:lineRule="auto"/>
      </w:pPr>
      <w:r>
        <w:t xml:space="preserve">De hoogte van de continuïteitsreserve wordt bepaald op basis van </w:t>
      </w:r>
      <w:r w:rsidR="00425817">
        <w:t xml:space="preserve">een </w:t>
      </w:r>
      <w:r w:rsidR="003F7139">
        <w:t>risicoanalyse</w:t>
      </w:r>
      <w:r w:rsidR="00425817">
        <w:t xml:space="preserve"> op de begroting van het laatste jaar van een goedgekeurde </w:t>
      </w:r>
      <w:proofErr w:type="spellStart"/>
      <w:r w:rsidR="00425817">
        <w:t>meerjarenstrategie</w:t>
      </w:r>
      <w:proofErr w:type="spellEnd"/>
      <w:r w:rsidR="00425817">
        <w:t xml:space="preserve"> en -begroting. Met behulp van Monte Carlo Simulaties wordt de hoogte van het risico bepaald</w:t>
      </w:r>
      <w:r w:rsidR="0030500D">
        <w:t xml:space="preserve"> en wordt gemaximeerd c</w:t>
      </w:r>
      <w:r w:rsidR="0030500D" w:rsidRPr="00701C7F">
        <w:t xml:space="preserve">onform de richtlijn van de commissie </w:t>
      </w:r>
      <w:proofErr w:type="spellStart"/>
      <w:r w:rsidR="0030500D" w:rsidRPr="00701C7F">
        <w:t>Herkströter</w:t>
      </w:r>
      <w:proofErr w:type="spellEnd"/>
      <w:r w:rsidR="0030500D" w:rsidRPr="00701C7F">
        <w:t xml:space="preserve"> </w:t>
      </w:r>
      <w:r w:rsidR="0030500D">
        <w:t>op</w:t>
      </w:r>
      <w:r w:rsidR="0030500D" w:rsidRPr="00701C7F">
        <w:t xml:space="preserve"> een bovengrens van anderhalf maal de jaarkosten van de werkorganisatie.</w:t>
      </w:r>
      <w:r>
        <w:t xml:space="preserve"> Deze jaarlijkse kosten van de werkorganisatie worden bepaald aan de hand van:</w:t>
      </w:r>
    </w:p>
    <w:p w14:paraId="7F056D52" w14:textId="77777777" w:rsidR="001D658C" w:rsidRDefault="001D658C" w:rsidP="003A7045">
      <w:pPr>
        <w:pStyle w:val="Lijstalinea"/>
        <w:numPr>
          <w:ilvl w:val="0"/>
          <w:numId w:val="28"/>
        </w:numPr>
        <w:spacing w:line="276" w:lineRule="auto"/>
      </w:pPr>
      <w:r w:rsidRPr="001D658C">
        <w:t xml:space="preserve">subsidies en bijdragen, afdrachten, aankopen en </w:t>
      </w:r>
      <w:proofErr w:type="spellStart"/>
      <w:r w:rsidRPr="001D658C">
        <w:t>verwervingen</w:t>
      </w:r>
      <w:proofErr w:type="spellEnd"/>
      <w:r w:rsidRPr="001D658C">
        <w:t>, uitbesteed werk en</w:t>
      </w:r>
      <w:r>
        <w:t xml:space="preserve"> </w:t>
      </w:r>
      <w:r w:rsidRPr="001D658C">
        <w:t>publiciteit en communicatie worden volledig meegenomen</w:t>
      </w:r>
      <w:r w:rsidR="00424F00">
        <w:t>,</w:t>
      </w:r>
      <w:r w:rsidRPr="001D658C">
        <w:t xml:space="preserve"> uitgezonderd dat deel dat wordt</w:t>
      </w:r>
      <w:r>
        <w:t xml:space="preserve"> </w:t>
      </w:r>
      <w:r w:rsidRPr="001D658C">
        <w:t>toegerekend aan de doelstelling;</w:t>
      </w:r>
    </w:p>
    <w:p w14:paraId="0E3FCD0A" w14:textId="77777777" w:rsidR="00961CC6" w:rsidRDefault="001D658C" w:rsidP="003A7045">
      <w:pPr>
        <w:pStyle w:val="Lijstalinea"/>
        <w:numPr>
          <w:ilvl w:val="0"/>
          <w:numId w:val="28"/>
        </w:numPr>
        <w:spacing w:line="276" w:lineRule="auto"/>
      </w:pPr>
      <w:r>
        <w:t>personeelskosten, huisvestingskosten, kantoor en algemene kosten en afschrijvingen en rente worden volledig meegenomen inclusief het gedeelte dat aan de doelstelling wordt toegerekend.</w:t>
      </w:r>
    </w:p>
    <w:p w14:paraId="40A9C1FD" w14:textId="77777777" w:rsidR="00961CC6" w:rsidRDefault="00961CC6" w:rsidP="003A7045">
      <w:pPr>
        <w:spacing w:line="276" w:lineRule="auto"/>
      </w:pPr>
      <w:r w:rsidRPr="009D7B81">
        <w:t xml:space="preserve">Toevoegingen aan de reserve zijn slechts toegestaan indien de hoogte van de reserve lager </w:t>
      </w:r>
      <w:r w:rsidR="0030500D">
        <w:t xml:space="preserve">is </w:t>
      </w:r>
      <w:r w:rsidRPr="009D7B81">
        <w:t xml:space="preserve">dan de </w:t>
      </w:r>
      <w:r w:rsidR="0030500D">
        <w:t xml:space="preserve">meerjarig door de Raad van Toezicht vastgestelde </w:t>
      </w:r>
      <w:r w:rsidRPr="009D7B81">
        <w:t>norm.</w:t>
      </w:r>
      <w:r w:rsidR="008A7CE8">
        <w:t xml:space="preserve"> </w:t>
      </w:r>
      <w:r w:rsidR="0030500D">
        <w:t>De norm wordt bijgesteld,</w:t>
      </w:r>
      <w:r w:rsidR="002479C4">
        <w:t xml:space="preserve"> met goedkeuring van de Raad van Toezicht, </w:t>
      </w:r>
      <w:r w:rsidR="005C0624">
        <w:t>zo</w:t>
      </w:r>
      <w:r w:rsidR="0030500D">
        <w:t xml:space="preserve">dra hiervoor op basis van nieuwe </w:t>
      </w:r>
      <w:proofErr w:type="spellStart"/>
      <w:r w:rsidR="0030500D">
        <w:t>meerjarenstrategie</w:t>
      </w:r>
      <w:proofErr w:type="spellEnd"/>
      <w:r w:rsidR="0030500D">
        <w:t xml:space="preserve"> en -begroting</w:t>
      </w:r>
      <w:r w:rsidR="005C0624">
        <w:t xml:space="preserve"> no</w:t>
      </w:r>
      <w:r w:rsidR="0030500D">
        <w:t>o</w:t>
      </w:r>
      <w:r w:rsidR="005C0624">
        <w:t>d</w:t>
      </w:r>
      <w:r w:rsidR="0030500D">
        <w:t>zaak ontstaat</w:t>
      </w:r>
      <w:r w:rsidR="002479C4">
        <w:t>.</w:t>
      </w:r>
    </w:p>
    <w:p w14:paraId="4B83DA15" w14:textId="77777777" w:rsidR="00747F00" w:rsidRDefault="00747F00" w:rsidP="003A7045">
      <w:pPr>
        <w:spacing w:line="276" w:lineRule="auto"/>
      </w:pPr>
    </w:p>
    <w:p w14:paraId="1C5222EF" w14:textId="77777777" w:rsidR="00961CC6" w:rsidRPr="003214A8" w:rsidRDefault="00961CC6" w:rsidP="003214A8">
      <w:pPr>
        <w:pStyle w:val="Kop2"/>
      </w:pPr>
      <w:bookmarkStart w:id="18" w:name="_Toc529964427"/>
      <w:r w:rsidRPr="003214A8">
        <w:t>Bestemmingsreserve</w:t>
      </w:r>
      <w:bookmarkEnd w:id="18"/>
    </w:p>
    <w:p w14:paraId="1612F35C" w14:textId="77777777" w:rsidR="00961CC6" w:rsidRDefault="00DC0F18" w:rsidP="003A7045">
      <w:pPr>
        <w:spacing w:line="276" w:lineRule="auto"/>
      </w:pPr>
      <w:r>
        <w:t xml:space="preserve">Bestemmingsreserves worden gevormd om gelden te oormerken voor een specifiek doel. Bij de vorming van een bestemmingsreserve wordt een duidelijk doel omschreven en wordt de looptijd van de bestemmingsreserve bepaald. Het bestuur stelt de vorming van de reserve voor en de Raad van Toezicht stelt deze vast. </w:t>
      </w:r>
    </w:p>
    <w:p w14:paraId="700EBD4D" w14:textId="77777777" w:rsidR="00747F00" w:rsidRDefault="00747F00" w:rsidP="003A7045">
      <w:pPr>
        <w:spacing w:line="276" w:lineRule="auto"/>
      </w:pPr>
    </w:p>
    <w:p w14:paraId="00812B9D" w14:textId="77777777" w:rsidR="00DC0F18" w:rsidRPr="003214A8" w:rsidRDefault="00DC0F18" w:rsidP="003214A8">
      <w:pPr>
        <w:pStyle w:val="Kop2"/>
      </w:pPr>
      <w:bookmarkStart w:id="19" w:name="_Toc529964428"/>
      <w:r w:rsidRPr="003214A8">
        <w:t>Herwaarderingsreserve</w:t>
      </w:r>
      <w:bookmarkEnd w:id="19"/>
    </w:p>
    <w:p w14:paraId="7672C43A" w14:textId="43D021AE" w:rsidR="00884243" w:rsidRDefault="00884243" w:rsidP="003A7045">
      <w:pPr>
        <w:spacing w:line="276" w:lineRule="auto"/>
      </w:pPr>
      <w:r>
        <w:t xml:space="preserve">Er worden door de </w:t>
      </w:r>
      <w:r w:rsidR="00ED62D7">
        <w:t>&lt;NAAM ORGANISATIE&gt;</w:t>
      </w:r>
      <w:r>
        <w:t xml:space="preserve"> twee herwaarderingsreserves aangehouden, te weten:</w:t>
      </w:r>
    </w:p>
    <w:p w14:paraId="2BDEECFE" w14:textId="47556D4E" w:rsidR="00DC0F18" w:rsidRDefault="00884243" w:rsidP="00884243">
      <w:pPr>
        <w:pStyle w:val="Lijstalinea"/>
        <w:numPr>
          <w:ilvl w:val="0"/>
          <w:numId w:val="34"/>
        </w:numPr>
        <w:spacing w:line="276" w:lineRule="auto"/>
      </w:pPr>
      <w:r>
        <w:t xml:space="preserve">Herwaarderingsreserve Beleggingen: </w:t>
      </w:r>
      <w:r w:rsidR="00DC0F18">
        <w:t xml:space="preserve">Omdat de </w:t>
      </w:r>
      <w:r w:rsidR="00ED62D7">
        <w:t>&lt;NAAM ORGANISATIE&gt;</w:t>
      </w:r>
      <w:r w:rsidR="00DC0F18">
        <w:t xml:space="preserve"> een deel van het vermogen heeft belegd in vermogensbeheer wordt een herwaarderingsreserve beleggingen aangehouden. In deze reserve worden ongerealiseerde koersresultaten op beleggingen verwerkt, conform de Richtlijn voor de Jaarverslaggeving RJ650.</w:t>
      </w:r>
    </w:p>
    <w:p w14:paraId="22369E52" w14:textId="77777777" w:rsidR="00884243" w:rsidRDefault="00884243" w:rsidP="003F7139">
      <w:pPr>
        <w:pStyle w:val="Lijstalinea"/>
        <w:numPr>
          <w:ilvl w:val="0"/>
          <w:numId w:val="34"/>
        </w:numPr>
        <w:spacing w:line="276" w:lineRule="auto"/>
      </w:pPr>
      <w:r>
        <w:t xml:space="preserve">Herwaarderingsreserve vruchtgebruik: </w:t>
      </w:r>
      <w:r w:rsidR="003D2CD0" w:rsidRPr="003D2CD0">
        <w:t>De bestemmingsreserve Vruchtgebruik is gevormd omdat in de Richtlijn Verslaggeving Fondsenwervende Instellingen (RJ650) welke per 1 januari 2017 in werking is getreden nalatenschappen belast met (vrucht)gebruik gewaardeerd dienen te worden. Bij de beoordeling of en voor hoeveel een nalatenschap belast met (vrucht)gebruik gewaardeerd moet worden</w:t>
      </w:r>
      <w:r w:rsidR="003D2CD0">
        <w:t>, wordt</w:t>
      </w:r>
      <w:r w:rsidR="003D2CD0" w:rsidRPr="003D2CD0">
        <w:t xml:space="preserve"> gebruik gemaakt van de “Handreiking verwerking en waardering van nalatenschappen belast met (vrucht)gebruik, januari 2018” van Goede Doelen Nederland.</w:t>
      </w:r>
      <w:r w:rsidR="003D2CD0">
        <w:t xml:space="preserve"> Jaarlijkse wordt deze reserve gemuteerd met het gelijke bedrag in waarderingsaanpassing.</w:t>
      </w:r>
    </w:p>
    <w:p w14:paraId="246485A9" w14:textId="77777777" w:rsidR="00747F00" w:rsidRDefault="00747F00" w:rsidP="00747F00">
      <w:pPr>
        <w:pStyle w:val="Lijstalinea"/>
        <w:spacing w:line="276" w:lineRule="auto"/>
      </w:pPr>
    </w:p>
    <w:p w14:paraId="3F685E04" w14:textId="77777777" w:rsidR="00DC0F18" w:rsidRPr="003214A8" w:rsidRDefault="00DC0F18" w:rsidP="003214A8">
      <w:pPr>
        <w:pStyle w:val="Kop2"/>
      </w:pPr>
      <w:bookmarkStart w:id="20" w:name="_Toc529964429"/>
      <w:r w:rsidRPr="003214A8">
        <w:t>Overige reserve</w:t>
      </w:r>
      <w:bookmarkEnd w:id="20"/>
    </w:p>
    <w:p w14:paraId="21EB8D15" w14:textId="77777777" w:rsidR="00DC0F18" w:rsidRDefault="00DC0F18" w:rsidP="003A7045">
      <w:pPr>
        <w:spacing w:line="276" w:lineRule="auto"/>
      </w:pPr>
      <w:r>
        <w:t>De overige reserve wordt ge</w:t>
      </w:r>
      <w:r w:rsidR="00F04D87">
        <w:t xml:space="preserve">vormd uit </w:t>
      </w:r>
      <w:r w:rsidR="005C0624">
        <w:t>resultaat d</w:t>
      </w:r>
      <w:r>
        <w:t>at niet kan worden toegevoegd aan de Continuïteitsreserve</w:t>
      </w:r>
      <w:r w:rsidR="00F04D87">
        <w:t xml:space="preserve"> en niet voor een specifiek doel is bestemd. Middelen die aan de overige reserve worden toegevoegd dienen uiterlijk in 2 jaren te zijn besteed.</w:t>
      </w:r>
    </w:p>
    <w:p w14:paraId="649018FF" w14:textId="77777777" w:rsidR="00747F00" w:rsidRDefault="00747F00" w:rsidP="003A7045">
      <w:pPr>
        <w:spacing w:line="276" w:lineRule="auto"/>
      </w:pPr>
    </w:p>
    <w:p w14:paraId="071BDB96" w14:textId="77777777" w:rsidR="00A47C46" w:rsidRPr="003214A8" w:rsidRDefault="00A47C46" w:rsidP="003214A8">
      <w:pPr>
        <w:pStyle w:val="Kop2"/>
      </w:pPr>
      <w:bookmarkStart w:id="21" w:name="_Toc529964430"/>
      <w:r w:rsidRPr="003214A8">
        <w:t>Fondsen</w:t>
      </w:r>
      <w:bookmarkEnd w:id="21"/>
    </w:p>
    <w:p w14:paraId="52C3C103" w14:textId="77777777" w:rsidR="00A47C46" w:rsidRDefault="00A47C46" w:rsidP="003A7045">
      <w:pPr>
        <w:spacing w:line="276" w:lineRule="auto"/>
      </w:pPr>
      <w:r>
        <w:t xml:space="preserve">Fondsen zijn reserves bestemd door derden. Een Fonds op Naam is een schenking aan een goed doel, ook genoemd het 'hoofdfonds', met een gerichte opdracht. </w:t>
      </w:r>
    </w:p>
    <w:p w14:paraId="3AD080C8" w14:textId="77777777" w:rsidR="00A47C46" w:rsidRDefault="00A47C46" w:rsidP="003A7045">
      <w:pPr>
        <w:spacing w:line="276" w:lineRule="auto"/>
      </w:pPr>
      <w:r>
        <w:t>De schenker bepaalt zelf de naam van het fonds (vaak de eigen naam of de naam van een dierbare) en de aan het 'hoofdfonds' gerelateerde doelstelling (bijvoorbeeld een bepaald onderzoek). De schenker kan ook zelf bepalen hoeveel geld het fonds uitgeeft. Het doel van het Fonds op Naam moet over het algemeen wel passen binnen de doelstelling van het 'hoofdfonds'. Het 'hoofdfonds' zorgt ervoor dat het geld in het Fonds van Naam besteed wordt aan het specifieke doel en draagt zorg voor de administratieve afhandeling.</w:t>
      </w:r>
    </w:p>
    <w:p w14:paraId="6BE959B0" w14:textId="77777777" w:rsidR="00A47C46" w:rsidRDefault="00A47C46" w:rsidP="00A47C46">
      <w:pPr>
        <w:autoSpaceDE w:val="0"/>
        <w:autoSpaceDN w:val="0"/>
        <w:adjustRightInd w:val="0"/>
        <w:spacing w:line="240" w:lineRule="auto"/>
      </w:pPr>
    </w:p>
    <w:p w14:paraId="72229764" w14:textId="77777777" w:rsidR="00A47C46" w:rsidRDefault="00A47C46" w:rsidP="00A47C46">
      <w:pPr>
        <w:pStyle w:val="Kop1"/>
        <w:spacing w:line="240" w:lineRule="auto"/>
      </w:pPr>
      <w:bookmarkStart w:id="22" w:name="_Toc529964431"/>
      <w:bookmarkStart w:id="23" w:name="_Hlk523389716"/>
      <w:r>
        <w:t>Beleggings</w:t>
      </w:r>
      <w:r w:rsidR="00C270EA">
        <w:t>beleid</w:t>
      </w:r>
      <w:bookmarkEnd w:id="22"/>
    </w:p>
    <w:p w14:paraId="3416CB3E" w14:textId="77777777" w:rsidR="00426273" w:rsidRDefault="00426273" w:rsidP="00426273">
      <w:r>
        <w:t xml:space="preserve">Beleggingen kunnen plaatsvinden op de kapitaalmarkt in beursgenoteerde organisatie en in investeringen in private </w:t>
      </w:r>
      <w:proofErr w:type="spellStart"/>
      <w:r>
        <w:t>equity</w:t>
      </w:r>
      <w:proofErr w:type="spellEnd"/>
      <w:r>
        <w:t xml:space="preserve">. </w:t>
      </w:r>
    </w:p>
    <w:p w14:paraId="697FE35C" w14:textId="77777777" w:rsidR="00D524FC" w:rsidRPr="00747F00" w:rsidRDefault="00426273" w:rsidP="00426273">
      <w:r w:rsidRPr="00747F00">
        <w:t>Beleggen op de kapitaalmarkt (via onze beheerder</w:t>
      </w:r>
      <w:r w:rsidR="00571AF7" w:rsidRPr="00747F00">
        <w:t>s</w:t>
      </w:r>
      <w:r w:rsidRPr="00747F00">
        <w:t>)</w:t>
      </w:r>
      <w:r w:rsidR="00AF6D3A" w:rsidRPr="00747F00">
        <w:t xml:space="preserve"> is primair gericht op beleggingen</w:t>
      </w:r>
      <w:r w:rsidR="00DD7BB2" w:rsidRPr="00747F00">
        <w:t xml:space="preserve"> voor de lange termijn, </w:t>
      </w:r>
      <w:r w:rsidRPr="00747F00">
        <w:t>5</w:t>
      </w:r>
      <w:r w:rsidR="00DD7BB2" w:rsidRPr="00747F00">
        <w:t xml:space="preserve"> jaar en langer. De</w:t>
      </w:r>
      <w:r w:rsidRPr="00747F00">
        <w:t>ze bele</w:t>
      </w:r>
      <w:r w:rsidR="00DD7BB2" w:rsidRPr="00747F00">
        <w:t>ggingen zullen op een solide en defensieve wijze geschieden. De keuze van de belegging word</w:t>
      </w:r>
      <w:r w:rsidR="00747F00" w:rsidRPr="00747F00">
        <w:t>t</w:t>
      </w:r>
      <w:r w:rsidR="00DD7BB2" w:rsidRPr="00747F00">
        <w:t xml:space="preserve"> bepaald aan de hand van drie type criteria die in volgordelijkheid worden toegepast bij de samenstelling en beoordeling van de beleggingsportefeuille(s). </w:t>
      </w:r>
      <w:r w:rsidR="009D43F8" w:rsidRPr="00747F00">
        <w:t xml:space="preserve">Aanvullend hierop dient rekening gehouden te worden met beleggingsinhoudelijke restricties en de portefeuillespreiding. </w:t>
      </w:r>
    </w:p>
    <w:p w14:paraId="6A423874" w14:textId="7EDFBD30" w:rsidR="00747F00" w:rsidRDefault="00426273" w:rsidP="009369C4">
      <w:r w:rsidRPr="006D35A4">
        <w:t xml:space="preserve">Beleggen in private </w:t>
      </w:r>
      <w:proofErr w:type="spellStart"/>
      <w:r w:rsidRPr="006D35A4">
        <w:t>equity</w:t>
      </w:r>
      <w:proofErr w:type="spellEnd"/>
      <w:r w:rsidRPr="006D35A4">
        <w:t xml:space="preserve"> </w:t>
      </w:r>
      <w:r w:rsidR="006D35A4" w:rsidRPr="009369C4">
        <w:t>heeft</w:t>
      </w:r>
      <w:r w:rsidR="006D35A4" w:rsidRPr="006D35A4">
        <w:t xml:space="preserve"> </w:t>
      </w:r>
      <w:r w:rsidR="008E51DA">
        <w:t xml:space="preserve">primair </w:t>
      </w:r>
      <w:r w:rsidR="006D35A4" w:rsidRPr="006D35A4">
        <w:t>a</w:t>
      </w:r>
      <w:r w:rsidR="006D35A4" w:rsidRPr="009369C4">
        <w:t>l</w:t>
      </w:r>
      <w:r w:rsidR="006D35A4">
        <w:t>s doel te investeren in impact, waarbij financieel rendement sec</w:t>
      </w:r>
      <w:r w:rsidR="008E51DA">
        <w:t>u</w:t>
      </w:r>
      <w:r w:rsidR="006D35A4">
        <w:t>ndair is.</w:t>
      </w:r>
      <w:r w:rsidR="008E51DA">
        <w:t xml:space="preserve"> Het betreft het investeren in startups van private ondernemingen die hun doelstellingen volledig in het verlengde van de doelstelling van de </w:t>
      </w:r>
      <w:r w:rsidR="00ED62D7">
        <w:t>&lt;NAAM ORGANISATIE&gt;</w:t>
      </w:r>
      <w:r w:rsidR="008E51DA">
        <w:t xml:space="preserve"> hebben. Deze beleggingen worden beschouwd als beleggingen voor korte duur, zijn gerelateerd aan doelstellingsgelden</w:t>
      </w:r>
      <w:r w:rsidR="009D3528">
        <w:t xml:space="preserve"> en dragen op geen enkele wijze bij aan de borging van langere termijn financiering van langlopende schulden of continuïteitsreserve. </w:t>
      </w:r>
    </w:p>
    <w:p w14:paraId="097CB9E6" w14:textId="77777777" w:rsidR="00747F00" w:rsidRPr="006D35A4" w:rsidRDefault="00747F00" w:rsidP="009369C4"/>
    <w:p w14:paraId="10F4546B" w14:textId="77777777" w:rsidR="009D3528" w:rsidRPr="00747F00" w:rsidRDefault="009D3528" w:rsidP="0066394C">
      <w:pPr>
        <w:pStyle w:val="Kop2"/>
      </w:pPr>
      <w:bookmarkStart w:id="24" w:name="_Toc529964432"/>
      <w:r w:rsidRPr="00747F00">
        <w:t xml:space="preserve">Beleggingscriteria ten behoeve van beleggen in private </w:t>
      </w:r>
      <w:proofErr w:type="spellStart"/>
      <w:r w:rsidRPr="00747F00">
        <w:t>equity</w:t>
      </w:r>
      <w:bookmarkEnd w:id="24"/>
      <w:proofErr w:type="spellEnd"/>
      <w:r w:rsidRPr="00747F00">
        <w:t xml:space="preserve"> </w:t>
      </w:r>
    </w:p>
    <w:p w14:paraId="085758A1" w14:textId="77777777" w:rsidR="00842462" w:rsidRPr="00747F00" w:rsidRDefault="00842462" w:rsidP="00842462">
      <w:pPr>
        <w:pStyle w:val="Lijstalinea"/>
        <w:numPr>
          <w:ilvl w:val="0"/>
          <w:numId w:val="35"/>
        </w:numPr>
      </w:pPr>
      <w:r w:rsidRPr="00747F00">
        <w:t>Het is niet toegestaan om aandelen te verkrijgen. Certificaten van aandelen of participatie in beleggingsfondsen zijn wel toegestaan</w:t>
      </w:r>
      <w:r w:rsidR="00A11612" w:rsidRPr="00747F00">
        <w:t>;</w:t>
      </w:r>
    </w:p>
    <w:p w14:paraId="19EFBE1B" w14:textId="3EF2E2F7" w:rsidR="00842462" w:rsidRPr="00747F00" w:rsidRDefault="00842462" w:rsidP="00842462">
      <w:pPr>
        <w:pStyle w:val="Lijstalinea"/>
        <w:numPr>
          <w:ilvl w:val="0"/>
          <w:numId w:val="35"/>
        </w:numPr>
      </w:pPr>
      <w:r w:rsidRPr="00747F00">
        <w:t xml:space="preserve">Beleggingen in private </w:t>
      </w:r>
      <w:proofErr w:type="spellStart"/>
      <w:r w:rsidRPr="00747F00">
        <w:t>equity</w:t>
      </w:r>
      <w:proofErr w:type="spellEnd"/>
      <w:r w:rsidRPr="00747F00">
        <w:t xml:space="preserve"> worden vooraf getoetst </w:t>
      </w:r>
      <w:r w:rsidR="00A46AFC" w:rsidRPr="00747F00">
        <w:t xml:space="preserve">op gelijke wijze als het uitschrijven van subsidies en moeten volledig in het verlengde liggen van de doelstellingen van de </w:t>
      </w:r>
      <w:r w:rsidR="00ED62D7">
        <w:t>&lt;NAAM ORGANISATIE&gt;</w:t>
      </w:r>
      <w:r w:rsidR="00A11612" w:rsidRPr="00747F00">
        <w:t>;</w:t>
      </w:r>
    </w:p>
    <w:p w14:paraId="1D5CCC54" w14:textId="77777777" w:rsidR="00F20533" w:rsidRPr="00747F00" w:rsidRDefault="00A46AFC" w:rsidP="00842462">
      <w:pPr>
        <w:pStyle w:val="Lijstalinea"/>
        <w:numPr>
          <w:ilvl w:val="0"/>
          <w:numId w:val="35"/>
        </w:numPr>
      </w:pPr>
      <w:r w:rsidRPr="00747F00">
        <w:t xml:space="preserve">Beleggingen in private </w:t>
      </w:r>
      <w:proofErr w:type="spellStart"/>
      <w:r w:rsidRPr="00747F00">
        <w:t>equity</w:t>
      </w:r>
      <w:proofErr w:type="spellEnd"/>
      <w:r w:rsidRPr="00747F00">
        <w:t xml:space="preserve"> mogen alleen als er geen</w:t>
      </w:r>
      <w:r w:rsidR="00A11612" w:rsidRPr="00747F00">
        <w:t xml:space="preserve"> (rechtstreekse)</w:t>
      </w:r>
      <w:r w:rsidRPr="00747F00">
        <w:t xml:space="preserve"> bestuurlijke verantwoordelijkheden worden aangegaan in de private onderneming.</w:t>
      </w:r>
      <w:r w:rsidR="00A11612" w:rsidRPr="00747F00">
        <w:t xml:space="preserve"> </w:t>
      </w:r>
    </w:p>
    <w:p w14:paraId="0C17870A" w14:textId="77777777" w:rsidR="00F20533" w:rsidRPr="00747F00" w:rsidRDefault="00F20533" w:rsidP="00842462">
      <w:pPr>
        <w:pStyle w:val="Lijstalinea"/>
        <w:numPr>
          <w:ilvl w:val="0"/>
          <w:numId w:val="35"/>
        </w:numPr>
      </w:pPr>
      <w:r w:rsidRPr="00747F00">
        <w:t xml:space="preserve">Beleggingen in private </w:t>
      </w:r>
      <w:proofErr w:type="spellStart"/>
      <w:r w:rsidRPr="00747F00">
        <w:t>equity</w:t>
      </w:r>
      <w:proofErr w:type="spellEnd"/>
      <w:r w:rsidRPr="00747F00">
        <w:t xml:space="preserve"> moeten worden getoetst op mogelijke imagoschade;</w:t>
      </w:r>
    </w:p>
    <w:p w14:paraId="7DA439E9" w14:textId="77777777" w:rsidR="006E1B20" w:rsidRPr="00747F00" w:rsidRDefault="006E1B20" w:rsidP="00842462">
      <w:pPr>
        <w:pStyle w:val="Lijstalinea"/>
        <w:numPr>
          <w:ilvl w:val="0"/>
          <w:numId w:val="35"/>
        </w:numPr>
      </w:pPr>
      <w:r w:rsidRPr="00747F00">
        <w:t xml:space="preserve">De voorkeurs- en uitsluitingscriteria die worden gehanteerd bij de beleggingen op de kapitaalmarkt zijn ook van toepassing bij het beleggen in private </w:t>
      </w:r>
      <w:proofErr w:type="spellStart"/>
      <w:r w:rsidRPr="00747F00">
        <w:t>equity</w:t>
      </w:r>
      <w:proofErr w:type="spellEnd"/>
      <w:r w:rsidRPr="00747F00">
        <w:t>;</w:t>
      </w:r>
    </w:p>
    <w:p w14:paraId="204E9117" w14:textId="77777777" w:rsidR="00842462" w:rsidRDefault="00F20533" w:rsidP="00E73863">
      <w:pPr>
        <w:pStyle w:val="Lijstalinea"/>
        <w:numPr>
          <w:ilvl w:val="0"/>
          <w:numId w:val="35"/>
        </w:numPr>
      </w:pPr>
      <w:r w:rsidRPr="00747F00">
        <w:t>Er dient specifiek aanvullend</w:t>
      </w:r>
      <w:r w:rsidR="00A46AFC" w:rsidRPr="00747F00">
        <w:t xml:space="preserve"> </w:t>
      </w:r>
      <w:r w:rsidRPr="00747F00">
        <w:t>beleid te worden ontwikkeld wat onderdeel moet uitmaken van dit statuut.</w:t>
      </w:r>
    </w:p>
    <w:p w14:paraId="0120D323" w14:textId="77777777" w:rsidR="00747F00" w:rsidRPr="00A46AFC" w:rsidRDefault="00747F00" w:rsidP="00E73863">
      <w:pPr>
        <w:pStyle w:val="Lijstalinea"/>
        <w:numPr>
          <w:ilvl w:val="0"/>
          <w:numId w:val="35"/>
        </w:numPr>
      </w:pPr>
    </w:p>
    <w:p w14:paraId="63508688" w14:textId="77777777" w:rsidR="009D43F8" w:rsidRPr="009D43F8" w:rsidRDefault="009D43F8" w:rsidP="00747F00">
      <w:pPr>
        <w:pStyle w:val="Kop2"/>
        <w:spacing w:after="240"/>
      </w:pPr>
      <w:bookmarkStart w:id="25" w:name="_Toc529964433"/>
      <w:r>
        <w:t>Beleggingscriteria</w:t>
      </w:r>
      <w:r w:rsidR="009D3528">
        <w:t xml:space="preserve"> ten behoeve van beleggen op de kapitaalmarkt</w:t>
      </w:r>
      <w:bookmarkEnd w:id="25"/>
    </w:p>
    <w:p w14:paraId="2345FEAE" w14:textId="77777777" w:rsidR="009D43F8" w:rsidRPr="00335C9D" w:rsidRDefault="009D43F8" w:rsidP="009D43F8">
      <w:pPr>
        <w:numPr>
          <w:ilvl w:val="0"/>
          <w:numId w:val="19"/>
        </w:numPr>
        <w:spacing w:before="0" w:line="240" w:lineRule="exact"/>
        <w:rPr>
          <w:rFonts w:cs="Arial"/>
          <w:color w:val="000000"/>
          <w:u w:val="single"/>
        </w:rPr>
      </w:pPr>
      <w:r>
        <w:rPr>
          <w:rFonts w:cs="Arial"/>
          <w:color w:val="000000"/>
          <w:u w:val="single"/>
        </w:rPr>
        <w:t>A</w:t>
      </w:r>
      <w:r w:rsidRPr="00335C9D">
        <w:rPr>
          <w:rFonts w:cs="Arial"/>
          <w:color w:val="000000"/>
          <w:u w:val="single"/>
        </w:rPr>
        <w:t>lgemene criteria</w:t>
      </w:r>
    </w:p>
    <w:bookmarkEnd w:id="23"/>
    <w:p w14:paraId="4F480E09" w14:textId="77777777" w:rsidR="009D43F8" w:rsidRPr="003A7045" w:rsidRDefault="009D43F8" w:rsidP="009D43F8">
      <w:pPr>
        <w:pStyle w:val="Lijstalinea"/>
        <w:numPr>
          <w:ilvl w:val="0"/>
          <w:numId w:val="33"/>
        </w:numPr>
      </w:pPr>
      <w:r w:rsidRPr="003A7045">
        <w:rPr>
          <w:i/>
        </w:rPr>
        <w:t xml:space="preserve">Rendement. </w:t>
      </w:r>
      <w:r w:rsidRPr="003A7045">
        <w:t>Een zodanige samenstelling van de portefeuille dat een zo optimaal mogelijk rendement wordt gerealiseerd In dit criterium worden ook de kosten van het vermogensbeheer meegenomen;</w:t>
      </w:r>
    </w:p>
    <w:p w14:paraId="1A4F4B49" w14:textId="77777777" w:rsidR="009D43F8" w:rsidRPr="003A7045" w:rsidRDefault="009D43F8" w:rsidP="009D43F8">
      <w:pPr>
        <w:pStyle w:val="Lijstalinea"/>
        <w:numPr>
          <w:ilvl w:val="0"/>
          <w:numId w:val="33"/>
        </w:numPr>
      </w:pPr>
      <w:r w:rsidRPr="003A7045">
        <w:rPr>
          <w:i/>
        </w:rPr>
        <w:t>Spreiding.</w:t>
      </w:r>
      <w:r w:rsidRPr="003A7045">
        <w:t xml:space="preserve"> Door een brede spreiding wordt het eventuele beleggingsrisico zoveel mogelijk beperkt;</w:t>
      </w:r>
    </w:p>
    <w:p w14:paraId="6F07E517" w14:textId="77777777" w:rsidR="009D43F8" w:rsidRPr="003A7045" w:rsidRDefault="009D43F8" w:rsidP="009D43F8">
      <w:pPr>
        <w:pStyle w:val="Lijstalinea"/>
        <w:numPr>
          <w:ilvl w:val="0"/>
          <w:numId w:val="33"/>
        </w:numPr>
      </w:pPr>
      <w:r w:rsidRPr="003A7045">
        <w:rPr>
          <w:i/>
        </w:rPr>
        <w:t>Risicobeperking.</w:t>
      </w:r>
      <w:r w:rsidRPr="003A7045">
        <w:t xml:space="preserve"> Een zodanige samenstelling van de portefeuille dat hoge risico’s worden vermeden.  </w:t>
      </w:r>
    </w:p>
    <w:p w14:paraId="1CEC9EB1" w14:textId="77777777" w:rsidR="009D43F8" w:rsidRDefault="00F11731" w:rsidP="009D43F8">
      <w:pPr>
        <w:spacing w:line="240" w:lineRule="exact"/>
        <w:rPr>
          <w:rFonts w:cs="Arial"/>
          <w:color w:val="000000"/>
        </w:rPr>
      </w:pPr>
      <w:r w:rsidRPr="003A7045">
        <w:rPr>
          <w:i/>
          <w:noProof/>
        </w:rPr>
        <mc:AlternateContent>
          <mc:Choice Requires="wps">
            <w:drawing>
              <wp:anchor distT="0" distB="0" distL="114300" distR="114300" simplePos="0" relativeHeight="251659776" behindDoc="0" locked="0" layoutInCell="1" allowOverlap="1" wp14:anchorId="756C9C0E" wp14:editId="62ABC98F">
                <wp:simplePos x="0" y="0"/>
                <wp:positionH relativeFrom="column">
                  <wp:posOffset>2886075</wp:posOffset>
                </wp:positionH>
                <wp:positionV relativeFrom="paragraph">
                  <wp:posOffset>76200</wp:posOffset>
                </wp:positionV>
                <wp:extent cx="200025" cy="285750"/>
                <wp:effectExtent l="28575" t="9525" r="28575" b="19050"/>
                <wp:wrapNone/>
                <wp:docPr id="4" name="PIJL-OMLAAG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85750"/>
                        </a:xfrm>
                        <a:prstGeom prst="downArrow">
                          <a:avLst>
                            <a:gd name="adj1" fmla="val 50000"/>
                            <a:gd name="adj2" fmla="val 3571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947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3" o:spid="_x0000_s1026" type="#_x0000_t67" style="position:absolute;margin-left:227.25pt;margin-top:6pt;width:15.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">
                <v:textbox style="layout-flow:vertical-ideographic"/>
              </v:shape>
            </w:pict>
          </mc:Fallback>
        </mc:AlternateContent>
      </w:r>
    </w:p>
    <w:p w14:paraId="3C909F2D" w14:textId="77777777" w:rsidR="009D43F8" w:rsidRPr="00335C9D" w:rsidRDefault="009D43F8" w:rsidP="009D43F8">
      <w:pPr>
        <w:numPr>
          <w:ilvl w:val="0"/>
          <w:numId w:val="19"/>
        </w:numPr>
        <w:spacing w:before="0" w:line="240" w:lineRule="exact"/>
        <w:rPr>
          <w:rFonts w:cs="Arial"/>
          <w:color w:val="000000"/>
          <w:u w:val="single"/>
        </w:rPr>
      </w:pPr>
      <w:r>
        <w:rPr>
          <w:rFonts w:cs="Arial"/>
          <w:color w:val="000000"/>
          <w:u w:val="single"/>
        </w:rPr>
        <w:t>Uitsluitingscriteria</w:t>
      </w:r>
    </w:p>
    <w:p w14:paraId="13376801" w14:textId="36704EBB" w:rsidR="009D43F8" w:rsidRPr="003A7045" w:rsidRDefault="00F77E2C" w:rsidP="009D43F8">
      <w:pPr>
        <w:pStyle w:val="Lijstalinea"/>
        <w:numPr>
          <w:ilvl w:val="0"/>
          <w:numId w:val="33"/>
        </w:numPr>
        <w:rPr>
          <w:i/>
        </w:rPr>
      </w:pPr>
      <w:r w:rsidRPr="003A7045">
        <w:rPr>
          <w:i/>
        </w:rPr>
        <w:t>Potentiële</w:t>
      </w:r>
      <w:r w:rsidR="009D43F8" w:rsidRPr="003A7045">
        <w:rPr>
          <w:i/>
        </w:rPr>
        <w:t xml:space="preserve"> reputatieschade. </w:t>
      </w:r>
      <w:r w:rsidR="009D43F8" w:rsidRPr="003A7045">
        <w:t xml:space="preserve">Het beleggingsbeleid mag geen negatieve gevolgen hebben voor de reputatie van de </w:t>
      </w:r>
      <w:r w:rsidR="00ED62D7">
        <w:t>&lt;NAAM ORGANISATIE&gt;</w:t>
      </w:r>
      <w:r w:rsidR="009D43F8" w:rsidRPr="003A7045">
        <w:t xml:space="preserve">. Wat met dit criterium samenhangt is dat de </w:t>
      </w:r>
      <w:r w:rsidR="00ED62D7">
        <w:t>&lt;NAAM ORGANISATIE&gt;</w:t>
      </w:r>
      <w:r w:rsidR="009D43F8" w:rsidRPr="003A7045">
        <w:t xml:space="preserve"> in haar beleggingsbeleid niet in negatieve zin wil afwijken van andere (gezondheid)fondsen;</w:t>
      </w:r>
    </w:p>
    <w:p w14:paraId="4F9D9BFE" w14:textId="77777777" w:rsidR="009D43F8" w:rsidRPr="003A7045" w:rsidRDefault="00747F00" w:rsidP="009D43F8">
      <w:pPr>
        <w:pStyle w:val="Lijstalinea"/>
        <w:numPr>
          <w:ilvl w:val="0"/>
          <w:numId w:val="33"/>
        </w:numPr>
      </w:pPr>
      <w:r w:rsidRPr="003A7045">
        <w:rPr>
          <w:i/>
          <w:noProof/>
        </w:rPr>
        <mc:AlternateContent>
          <mc:Choice Requires="wps">
            <w:drawing>
              <wp:anchor distT="0" distB="0" distL="114300" distR="114300" simplePos="0" relativeHeight="251658752" behindDoc="0" locked="0" layoutInCell="1" allowOverlap="1" wp14:anchorId="7360522E" wp14:editId="513DA9BE">
                <wp:simplePos x="0" y="0"/>
                <wp:positionH relativeFrom="column">
                  <wp:posOffset>2886075</wp:posOffset>
                </wp:positionH>
                <wp:positionV relativeFrom="paragraph">
                  <wp:posOffset>686435</wp:posOffset>
                </wp:positionV>
                <wp:extent cx="200025" cy="285750"/>
                <wp:effectExtent l="28575" t="9525" r="28575" b="19050"/>
                <wp:wrapNone/>
                <wp:docPr id="6" name="PIJL-OMLAA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85750"/>
                        </a:xfrm>
                        <a:prstGeom prst="downArrow">
                          <a:avLst>
                            <a:gd name="adj1" fmla="val 50000"/>
                            <a:gd name="adj2" fmla="val 3571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7701A" id="PIJL-OMLAAG 2" o:spid="_x0000_s1026" type="#_x0000_t67" style="position:absolute;margin-left:227.25pt;margin-top:54.05pt;width:15.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">
                <v:textbox style="layout-flow:vertical-ideographic"/>
              </v:shape>
            </w:pict>
          </mc:Fallback>
        </mc:AlternateContent>
      </w:r>
      <w:r w:rsidR="009D43F8" w:rsidRPr="003A7045">
        <w:rPr>
          <w:i/>
        </w:rPr>
        <w:t xml:space="preserve">Niet uitlegbaar. </w:t>
      </w:r>
      <w:r w:rsidR="009D43F8" w:rsidRPr="003A7045">
        <w:t>Het beleggingsbeleid moet uitlegbaar zijn. Ook al wijkt het af van het beleid van andere (gezondheid)fondsen, als bestuurder en auditcommissie erachter staan en het beleid uitlegbaar vinden, dan is dat, zeker met het oog op publiciteit, belangrijk om mee te wegen bij de samenstelling van de portefeuille.</w:t>
      </w:r>
    </w:p>
    <w:p w14:paraId="6C7650DD" w14:textId="77777777" w:rsidR="009D43F8" w:rsidRDefault="009D43F8" w:rsidP="009D43F8">
      <w:pPr>
        <w:spacing w:line="240" w:lineRule="exact"/>
        <w:rPr>
          <w:rFonts w:cs="Arial"/>
          <w:color w:val="000000"/>
        </w:rPr>
      </w:pPr>
    </w:p>
    <w:p w14:paraId="12091637" w14:textId="77777777" w:rsidR="009D43F8" w:rsidRPr="00335C9D" w:rsidRDefault="009D43F8" w:rsidP="009D43F8">
      <w:pPr>
        <w:numPr>
          <w:ilvl w:val="0"/>
          <w:numId w:val="19"/>
        </w:numPr>
        <w:spacing w:before="0" w:line="240" w:lineRule="exact"/>
        <w:rPr>
          <w:rFonts w:cs="Arial"/>
          <w:color w:val="000000"/>
          <w:u w:val="single"/>
        </w:rPr>
      </w:pPr>
      <w:r>
        <w:rPr>
          <w:rFonts w:cs="Arial"/>
          <w:color w:val="000000"/>
          <w:u w:val="single"/>
        </w:rPr>
        <w:t>Voorkeurscriteria</w:t>
      </w:r>
    </w:p>
    <w:p w14:paraId="01A5ED10" w14:textId="64C279C3" w:rsidR="009D43F8" w:rsidRPr="003A7045" w:rsidRDefault="009D43F8" w:rsidP="009D43F8">
      <w:pPr>
        <w:pStyle w:val="Lijstalinea"/>
        <w:numPr>
          <w:ilvl w:val="0"/>
          <w:numId w:val="33"/>
        </w:numPr>
      </w:pPr>
      <w:r w:rsidRPr="003A7045">
        <w:rPr>
          <w:i/>
        </w:rPr>
        <w:t xml:space="preserve">Missie-gerelateerd. </w:t>
      </w:r>
      <w:r w:rsidRPr="003A7045">
        <w:t xml:space="preserve">Bij de samenstelling van de portefeuille worden fondsen of aandelen betrokken die kunnen bijdragen aan de inhoudelijke doelstellingen die de </w:t>
      </w:r>
      <w:r w:rsidR="00ED62D7">
        <w:t>&lt;NAAM ORGANISATIE&gt;</w:t>
      </w:r>
      <w:r w:rsidRPr="003A7045">
        <w:t xml:space="preserve"> nastreeft (bijv. de ontwikkeling van de draagbare kunstnier). In plaats van uitsluiting van bedrijven als gevolg van de duurzaamheidstoets is dit dus een positief criterium;</w:t>
      </w:r>
    </w:p>
    <w:p w14:paraId="55843150" w14:textId="77777777" w:rsidR="009D43F8" w:rsidRPr="003A7045" w:rsidRDefault="009D43F8" w:rsidP="00390CB0">
      <w:pPr>
        <w:pStyle w:val="Lijstalinea"/>
        <w:numPr>
          <w:ilvl w:val="0"/>
          <w:numId w:val="33"/>
        </w:numPr>
      </w:pPr>
      <w:r w:rsidRPr="003A7045">
        <w:rPr>
          <w:i/>
        </w:rPr>
        <w:t xml:space="preserve">Duurzaamheid. </w:t>
      </w:r>
      <w:r w:rsidRPr="003A7045">
        <w:t xml:space="preserve">Bij duurzaam beleggen gaat het er om dat de gevolgen voor mens en milieu worden meegewogen bij het beleggingsbeleid. Duurzaam beleggen wordt ook wel maatschappelijk verantwoord beleggen of ethisch beleggen genoemd. </w:t>
      </w:r>
      <w:r>
        <w:t xml:space="preserve">Voor de praktische uitvoering van het duurzaam beleggingsbeleid </w:t>
      </w:r>
      <w:r w:rsidR="00390CB0">
        <w:t xml:space="preserve">de </w:t>
      </w:r>
      <w:r w:rsidR="00390CB0" w:rsidRPr="00390CB0">
        <w:t xml:space="preserve">Handreiking Verantwoord Vermogensbeheer Fondsenwervende Instellingen van </w:t>
      </w:r>
      <w:r w:rsidR="00390CB0">
        <w:t>Goede Doelen Nederland</w:t>
      </w:r>
      <w:r w:rsidR="00F11731">
        <w:t xml:space="preserve"> gehanteerd en zijn hierop specifieke keuzes gemaakt</w:t>
      </w:r>
      <w:r w:rsidR="00390CB0">
        <w:t>.</w:t>
      </w:r>
    </w:p>
    <w:p w14:paraId="4B64B43D" w14:textId="77777777" w:rsidR="009D3528" w:rsidRDefault="009D43F8" w:rsidP="009D43F8">
      <w:r w:rsidRPr="003A7045">
        <w:t xml:space="preserve">Met de volgordelijkheid die hierboven is aangebracht wordt aangegeven dat de algemene criteria voor de gehele portefeuille gelden en dat pas daarna wordt gekeken welke fondsen en/of aandelen worden uitgesloten dan wel de voorkeur hebben. Uiteraard zal getracht worden een optimale mix te realiseren waarbij recht wordt gedaan aan zoveel mogelijk van de zeven criteria. Deze volgordelijkheid houdt concreet in dat bijvoorbeeld het criterium duurzaamheid niet ten koste mag gaan van rendement. Met andere woorden: bij (vrijwel) gelijk rendement heeft duurzaamheid de voorkeur. Daarmee kiezen we ervoor om vooral pragmatisch duurzaam te beleggen. </w:t>
      </w:r>
    </w:p>
    <w:p w14:paraId="716355DC" w14:textId="77777777" w:rsidR="00747F00" w:rsidRDefault="00747F00" w:rsidP="009D43F8"/>
    <w:p w14:paraId="0AE1C0A0" w14:textId="3110A305" w:rsidR="00034B94" w:rsidRPr="00464B96" w:rsidRDefault="00C270EA" w:rsidP="003214A8">
      <w:pPr>
        <w:pStyle w:val="Kop2"/>
        <w:rPr>
          <w:highlight w:val="yellow"/>
        </w:rPr>
      </w:pPr>
      <w:bookmarkStart w:id="26" w:name="_Toc529964434"/>
      <w:r w:rsidRPr="003214A8">
        <w:t>Beleggingsinhoudelijke restricties</w:t>
      </w:r>
      <w:bookmarkEnd w:id="26"/>
      <w:r w:rsidR="00464B96">
        <w:t xml:space="preserve"> </w:t>
      </w:r>
      <w:r w:rsidR="00464B96" w:rsidRPr="00464B96">
        <w:rPr>
          <w:highlight w:val="yellow"/>
        </w:rPr>
        <w:t>NB. DIT IS EEN VOORBEELD!</w:t>
      </w:r>
    </w:p>
    <w:p w14:paraId="11A77C97" w14:textId="61A1308D" w:rsidR="00034B94" w:rsidRDefault="009B4826" w:rsidP="001B5D8F">
      <w:pPr>
        <w:pStyle w:val="Lijstalinea"/>
        <w:numPr>
          <w:ilvl w:val="0"/>
          <w:numId w:val="29"/>
        </w:numPr>
        <w:spacing w:line="276" w:lineRule="auto"/>
      </w:pPr>
      <w:r>
        <w:t xml:space="preserve">Zonder voorafgaande toestemming van de </w:t>
      </w:r>
      <w:r w:rsidR="00ED62D7">
        <w:t>&lt;NAAM ORGANISATIE&gt;</w:t>
      </w:r>
      <w:r>
        <w:t xml:space="preserve"> is het de Beheerder niet toegestaan rechtstreeks te beleggen in derivaten, zoals swaps en </w:t>
      </w:r>
      <w:proofErr w:type="spellStart"/>
      <w:r>
        <w:t>futures</w:t>
      </w:r>
      <w:proofErr w:type="spellEnd"/>
      <w:r>
        <w:t xml:space="preserve">. Collectieve beleggingsinstrumenten die gebruik maken van derivaten, zoals bepaalde beleggingsfondsen en </w:t>
      </w:r>
      <w:proofErr w:type="spellStart"/>
      <w:r>
        <w:t>structured</w:t>
      </w:r>
      <w:proofErr w:type="spellEnd"/>
      <w:r>
        <w:t xml:space="preserve"> </w:t>
      </w:r>
      <w:proofErr w:type="spellStart"/>
      <w:r>
        <w:t>products</w:t>
      </w:r>
      <w:proofErr w:type="spellEnd"/>
      <w:r>
        <w:t xml:space="preserve"> zijn wel toegestaan.  Gebruikmaking van call-opties en </w:t>
      </w:r>
      <w:proofErr w:type="spellStart"/>
      <w:r>
        <w:t>put-opties</w:t>
      </w:r>
      <w:proofErr w:type="spellEnd"/>
      <w:r>
        <w:t xml:space="preserve"> is slechts toegestaan als het aandeel gedurende de looptijd van de opties in bezit is van de </w:t>
      </w:r>
      <w:r w:rsidR="00ED62D7">
        <w:t>&lt;NAAM ORGANISATIE&gt;</w:t>
      </w:r>
      <w:r>
        <w:t>. Het separaat aanhouden van de opties is niet toegestaan.</w:t>
      </w:r>
    </w:p>
    <w:p w14:paraId="616364C0" w14:textId="77777777" w:rsidR="00034B94" w:rsidRDefault="00034B94" w:rsidP="003A7045">
      <w:pPr>
        <w:pStyle w:val="Lijstalinea"/>
        <w:numPr>
          <w:ilvl w:val="0"/>
          <w:numId w:val="29"/>
        </w:numPr>
        <w:spacing w:line="276" w:lineRule="auto"/>
      </w:pPr>
      <w:r w:rsidRPr="00034B94">
        <w:t>Binnen de vermogenscategorie Aandelen mag uitsluitend worden belegd in individuele aandelen en beleggingsfondsen.</w:t>
      </w:r>
      <w:r w:rsidR="00297640">
        <w:t xml:space="preserve"> Er mag wereldwijd worden belegd. </w:t>
      </w:r>
    </w:p>
    <w:p w14:paraId="3D1D06EC" w14:textId="77777777" w:rsidR="00034B94" w:rsidRDefault="00034B94" w:rsidP="003A7045">
      <w:pPr>
        <w:pStyle w:val="Lijstalinea"/>
        <w:numPr>
          <w:ilvl w:val="0"/>
          <w:numId w:val="29"/>
        </w:numPr>
        <w:spacing w:line="276" w:lineRule="auto"/>
      </w:pPr>
      <w:r w:rsidRPr="00034B94">
        <w:t>Binnen de vermogenscategorie Vastrentende Waarden wordt uitsluitend belegd in beleggingen luidende in EURO.</w:t>
      </w:r>
    </w:p>
    <w:p w14:paraId="1D9F582A" w14:textId="77777777" w:rsidR="00034B94" w:rsidRDefault="00034B94" w:rsidP="003A7045">
      <w:pPr>
        <w:pStyle w:val="Lijstalinea"/>
        <w:numPr>
          <w:ilvl w:val="0"/>
          <w:numId w:val="29"/>
        </w:numPr>
        <w:spacing w:line="276" w:lineRule="auto"/>
      </w:pPr>
      <w:r w:rsidRPr="00034B94">
        <w:t xml:space="preserve">Binnen de vermogenscategorie Vastrentende Waarden wordt voor wat betreft de individuele obligaties alleen belegd in individuele staatsobligaties, obligaties van supranationale instellingen en semi-staatsobligaties met een rating van Standard &amp; </w:t>
      </w:r>
      <w:proofErr w:type="spellStart"/>
      <w:r w:rsidRPr="00034B94">
        <w:t>Poor’s</w:t>
      </w:r>
      <w:proofErr w:type="spellEnd"/>
      <w:r w:rsidRPr="00034B94">
        <w:t xml:space="preserve"> van </w:t>
      </w:r>
      <w:r w:rsidR="0048151E" w:rsidRPr="00034B94">
        <w:t>A</w:t>
      </w:r>
      <w:r w:rsidR="0048151E">
        <w:t>-</w:t>
      </w:r>
      <w:r w:rsidR="0048151E" w:rsidRPr="00034B94">
        <w:t xml:space="preserve"> </w:t>
      </w:r>
      <w:r w:rsidRPr="00034B94">
        <w:t xml:space="preserve">of hoger (variërend van </w:t>
      </w:r>
      <w:r w:rsidR="0048151E">
        <w:t xml:space="preserve">A-, </w:t>
      </w:r>
      <w:r w:rsidRPr="00034B94">
        <w:t xml:space="preserve">AA, AA+ en AAA) of een rating van </w:t>
      </w:r>
      <w:proofErr w:type="spellStart"/>
      <w:r w:rsidRPr="00034B94">
        <w:t>Moody’s</w:t>
      </w:r>
      <w:proofErr w:type="spellEnd"/>
      <w:r w:rsidRPr="00034B94">
        <w:t xml:space="preserve"> van A</w:t>
      </w:r>
      <w:r w:rsidR="0048151E">
        <w:t>3</w:t>
      </w:r>
      <w:r w:rsidRPr="00034B94">
        <w:t xml:space="preserve"> of hoger (variërend van </w:t>
      </w:r>
      <w:r w:rsidR="0048151E">
        <w:t xml:space="preserve">Aa3, </w:t>
      </w:r>
      <w:r w:rsidRPr="00034B94">
        <w:t xml:space="preserve">Aa2, Aa1 en </w:t>
      </w:r>
      <w:proofErr w:type="spellStart"/>
      <w:r w:rsidRPr="00034B94">
        <w:t>Aaa</w:t>
      </w:r>
      <w:proofErr w:type="spellEnd"/>
      <w:r w:rsidRPr="00034B94">
        <w:t xml:space="preserve">) of een rating van </w:t>
      </w:r>
      <w:proofErr w:type="spellStart"/>
      <w:r w:rsidRPr="00034B94">
        <w:t>Fitch</w:t>
      </w:r>
      <w:proofErr w:type="spellEnd"/>
      <w:r w:rsidRPr="00034B94">
        <w:t xml:space="preserve"> van AA of hoger (variërend van AA, AA+ en AAA).</w:t>
      </w:r>
      <w:r w:rsidR="00F13947">
        <w:t xml:space="preserve"> Het is toegestaan om hierop </w:t>
      </w:r>
      <w:proofErr w:type="spellStart"/>
      <w:r w:rsidR="00F13947">
        <w:t>blended</w:t>
      </w:r>
      <w:proofErr w:type="spellEnd"/>
      <w:r w:rsidR="00F13947">
        <w:t xml:space="preserve"> rating toe te passen.</w:t>
      </w:r>
    </w:p>
    <w:p w14:paraId="0506013A" w14:textId="77777777" w:rsidR="00034B94" w:rsidRDefault="00034B94" w:rsidP="003A7045">
      <w:pPr>
        <w:pStyle w:val="Lijstalinea"/>
        <w:numPr>
          <w:ilvl w:val="0"/>
          <w:numId w:val="29"/>
        </w:numPr>
        <w:spacing w:line="276" w:lineRule="auto"/>
      </w:pPr>
      <w:r w:rsidRPr="00034B94">
        <w:t xml:space="preserve">Binnen de vermogenscategorie Vastrentende Waarden wordt niet belegd in High </w:t>
      </w:r>
      <w:proofErr w:type="spellStart"/>
      <w:r w:rsidRPr="00034B94">
        <w:t>Yield</w:t>
      </w:r>
      <w:proofErr w:type="spellEnd"/>
      <w:r w:rsidRPr="00034B94">
        <w:t xml:space="preserve"> obligaties, converteerbare obligaties en staatsobligaties of semi-staatsobligaties uit opkomende landen.</w:t>
      </w:r>
    </w:p>
    <w:p w14:paraId="5269C9DD" w14:textId="77777777" w:rsidR="00034B94" w:rsidRDefault="00034B94" w:rsidP="003A7045">
      <w:pPr>
        <w:pStyle w:val="Lijstalinea"/>
        <w:numPr>
          <w:ilvl w:val="0"/>
          <w:numId w:val="29"/>
        </w:numPr>
        <w:spacing w:line="276" w:lineRule="auto"/>
      </w:pPr>
      <w:r w:rsidRPr="00034B94">
        <w:t xml:space="preserve">Binnen de vermogenscategorie Vastrentende Waarden mag voor wat betreft bedrijfsobligaties worden belegd in beleggingsfondsen mits deze uitsluitend in “investment </w:t>
      </w:r>
      <w:proofErr w:type="spellStart"/>
      <w:r w:rsidRPr="00034B94">
        <w:t>grade</w:t>
      </w:r>
      <w:proofErr w:type="spellEnd"/>
      <w:r w:rsidRPr="00034B94">
        <w:t xml:space="preserve">” bedrijfsobligaties (minimale rating van BBB- van Standard &amp; </w:t>
      </w:r>
      <w:proofErr w:type="spellStart"/>
      <w:r w:rsidRPr="00034B94">
        <w:t>Poor’s</w:t>
      </w:r>
      <w:proofErr w:type="spellEnd"/>
      <w:r w:rsidRPr="00034B94">
        <w:t xml:space="preserve"> of Baa3 van </w:t>
      </w:r>
      <w:proofErr w:type="spellStart"/>
      <w:r w:rsidRPr="00034B94">
        <w:t>Moody’s</w:t>
      </w:r>
      <w:proofErr w:type="spellEnd"/>
      <w:r w:rsidRPr="00034B94">
        <w:t xml:space="preserve"> of BBB- van </w:t>
      </w:r>
      <w:proofErr w:type="spellStart"/>
      <w:r w:rsidRPr="00034B94">
        <w:t>Fitch</w:t>
      </w:r>
      <w:proofErr w:type="spellEnd"/>
      <w:r w:rsidRPr="00034B94">
        <w:t>) beleggen.</w:t>
      </w:r>
    </w:p>
    <w:p w14:paraId="3F71FB2D" w14:textId="77777777" w:rsidR="00034B94" w:rsidRPr="00034B94" w:rsidRDefault="00034B94" w:rsidP="003A7045">
      <w:pPr>
        <w:pStyle w:val="Lijstalinea"/>
        <w:numPr>
          <w:ilvl w:val="0"/>
          <w:numId w:val="29"/>
        </w:numPr>
        <w:spacing w:line="276" w:lineRule="auto"/>
      </w:pPr>
      <w:r w:rsidRPr="00034B94">
        <w:t xml:space="preserve">Binnen de vermogenscategorie Alternatieve beleggingen mag niet worden belegd in </w:t>
      </w:r>
      <w:proofErr w:type="spellStart"/>
      <w:r w:rsidRPr="00034B94">
        <w:t>hedgefunds</w:t>
      </w:r>
      <w:proofErr w:type="spellEnd"/>
      <w:r w:rsidRPr="00034B94">
        <w:t>.</w:t>
      </w:r>
    </w:p>
    <w:p w14:paraId="12BDC9AA" w14:textId="1B3FBD68" w:rsidR="00034B94" w:rsidRPr="00034B94" w:rsidRDefault="00034B94" w:rsidP="003A7045">
      <w:pPr>
        <w:pStyle w:val="Lijstalinea"/>
        <w:numPr>
          <w:ilvl w:val="0"/>
          <w:numId w:val="29"/>
        </w:numPr>
        <w:spacing w:line="276" w:lineRule="auto"/>
      </w:pPr>
      <w:r w:rsidRPr="00034B94">
        <w:t xml:space="preserve">De beheerder mag binnen de vermogenscategorie Aandelen als uitbreiding op de duurzame referentieportefeuille tot </w:t>
      </w:r>
      <w:r w:rsidR="00464B96">
        <w:t>X</w:t>
      </w:r>
      <w:r w:rsidRPr="00034B94">
        <w:t xml:space="preserve">% van het vermogen beleggen in aandelen van bedrijven die door de aard van hun activiteiten passen bij de inhoudelijke ambitie van de </w:t>
      </w:r>
      <w:r w:rsidR="00ED62D7">
        <w:t>&lt;NAAM ORGANISATIE&gt;</w:t>
      </w:r>
      <w:r w:rsidRPr="00034B94">
        <w:t xml:space="preserve">, mits zij ook voldoen aan de duurzaamheidscriteria van de </w:t>
      </w:r>
      <w:r w:rsidR="00ED62D7">
        <w:t>&lt;NAAM ORGANISATIE&gt;</w:t>
      </w:r>
      <w:r w:rsidRPr="00034B94">
        <w:t xml:space="preserve"> en aan de financiële- en duurzaamheidscriteria van </w:t>
      </w:r>
      <w:r>
        <w:t>de Beheerder</w:t>
      </w:r>
      <w:r w:rsidRPr="00034B94">
        <w:t xml:space="preserve">. </w:t>
      </w:r>
    </w:p>
    <w:p w14:paraId="15EE29D8" w14:textId="315A51AB" w:rsidR="00034B94" w:rsidRPr="00034B94" w:rsidRDefault="00034B94" w:rsidP="003A7045">
      <w:pPr>
        <w:pStyle w:val="Lijstalinea"/>
        <w:numPr>
          <w:ilvl w:val="0"/>
          <w:numId w:val="29"/>
        </w:numPr>
        <w:spacing w:line="276" w:lineRule="auto"/>
      </w:pPr>
      <w:r>
        <w:t>De B</w:t>
      </w:r>
      <w:r w:rsidRPr="00034B94">
        <w:t xml:space="preserve">eheerder mag binnen de vermogenscategorie Vastrentende Waarden als uitbreiding op de duurzame referentieportefeuille tot </w:t>
      </w:r>
      <w:r w:rsidR="00464B96">
        <w:t>X</w:t>
      </w:r>
      <w:r w:rsidRPr="00034B94">
        <w:t xml:space="preserve">% van het vermogen beleggen in “investment </w:t>
      </w:r>
      <w:proofErr w:type="spellStart"/>
      <w:r w:rsidRPr="00034B94">
        <w:t>grade</w:t>
      </w:r>
      <w:proofErr w:type="spellEnd"/>
      <w:r w:rsidRPr="00034B94">
        <w:t xml:space="preserve">” bedrijfsobligaties (minimale rating van BBB- van Standard &amp; </w:t>
      </w:r>
      <w:proofErr w:type="spellStart"/>
      <w:r w:rsidRPr="00034B94">
        <w:t>Poor’s</w:t>
      </w:r>
      <w:proofErr w:type="spellEnd"/>
      <w:r w:rsidRPr="00034B94">
        <w:t xml:space="preserve"> of Baa3 van </w:t>
      </w:r>
      <w:proofErr w:type="spellStart"/>
      <w:r w:rsidRPr="00034B94">
        <w:t>Moody’s</w:t>
      </w:r>
      <w:proofErr w:type="spellEnd"/>
      <w:r w:rsidRPr="00034B94">
        <w:t xml:space="preserve"> of BBB- van </w:t>
      </w:r>
      <w:proofErr w:type="spellStart"/>
      <w:r w:rsidRPr="00034B94">
        <w:t>Fitch</w:t>
      </w:r>
      <w:proofErr w:type="spellEnd"/>
      <w:r w:rsidRPr="00034B94">
        <w:t xml:space="preserve">) van bedrijven die door de aard van hun activiteiten passen bij de inhoudelijke ambitie van de </w:t>
      </w:r>
      <w:r w:rsidR="00ED62D7">
        <w:t>&lt;NAAM ORGANISATIE&gt;</w:t>
      </w:r>
      <w:r w:rsidRPr="00034B94">
        <w:t xml:space="preserve">, mits zij ook voldoen aan de duurzaamheidscriteria van de </w:t>
      </w:r>
      <w:r w:rsidR="00ED62D7">
        <w:t>&lt;NAAM ORGANISATIE&gt;</w:t>
      </w:r>
      <w:r w:rsidRPr="00034B94">
        <w:t xml:space="preserve"> en aan de financiële- en duurzaamheidscriteria van </w:t>
      </w:r>
      <w:r>
        <w:t>de Beheerder</w:t>
      </w:r>
      <w:r w:rsidRPr="00034B94">
        <w:t>.</w:t>
      </w:r>
    </w:p>
    <w:p w14:paraId="6CC807F3" w14:textId="5C8C63A7" w:rsidR="00034B94" w:rsidRPr="00034B94" w:rsidRDefault="00034B94" w:rsidP="003A7045">
      <w:pPr>
        <w:pStyle w:val="Lijstalinea"/>
        <w:numPr>
          <w:ilvl w:val="0"/>
          <w:numId w:val="29"/>
        </w:numPr>
        <w:spacing w:line="276" w:lineRule="auto"/>
      </w:pPr>
      <w:r w:rsidRPr="00034B94">
        <w:t xml:space="preserve">Om in aanmerking te komen voor belegging als uitbreiding op de duurzame referentieportefeuilles moet een bedrijf op het onderdeel “duurzaamheid” óf op het onderdeel “financiële aantrekkelijkheid” positief scoren (op een schaal negatief – neutraal – positief) terwijl het op het andere onderdeel minimaal “neutraal” scoort. De lijst met bedrijven die hiervoor in aanmerking komen zal periodiek, maar minimaal jaarlijks, door de beheerder met de directie van de </w:t>
      </w:r>
      <w:r w:rsidR="00ED62D7">
        <w:t>&lt;NAAM ORGANISATIE&gt;</w:t>
      </w:r>
      <w:r w:rsidRPr="00034B94">
        <w:t xml:space="preserve"> worden besproken, waar nodig aangepast en opnieuw vastgesteld.</w:t>
      </w:r>
    </w:p>
    <w:p w14:paraId="50E5F63A" w14:textId="77777777" w:rsidR="0048151E" w:rsidRDefault="0048151E" w:rsidP="0048151E">
      <w:pPr>
        <w:pStyle w:val="Lijstalinea"/>
        <w:numPr>
          <w:ilvl w:val="0"/>
          <w:numId w:val="29"/>
        </w:numPr>
        <w:spacing w:line="276" w:lineRule="auto"/>
      </w:pPr>
      <w:r>
        <w:t xml:space="preserve">De  beheerder mag niet beleggen in kernenergie of direct daaraan gerelateerde bedrijven. De beheerder mag wel, in het kader van Maatschappelijk Verantwoord Ondernemen,  beleggen in bedrijven die zich uitsluitend bewegen op de markt van zonne- en/of windenergie. </w:t>
      </w:r>
    </w:p>
    <w:p w14:paraId="21240024" w14:textId="77777777" w:rsidR="00034B94" w:rsidRPr="003214A8" w:rsidRDefault="00842462" w:rsidP="00842462">
      <w:pPr>
        <w:pStyle w:val="Kop2"/>
      </w:pPr>
      <w:bookmarkStart w:id="27" w:name="_Toc529964435"/>
      <w:r>
        <w:t>Portefeuille spreiding</w:t>
      </w:r>
      <w:bookmarkEnd w:id="27"/>
    </w:p>
    <w:p w14:paraId="7D261C39" w14:textId="4727FD39" w:rsidR="00034B94" w:rsidRDefault="00034B94" w:rsidP="003A7045">
      <w:pPr>
        <w:spacing w:line="276" w:lineRule="auto"/>
      </w:pPr>
      <w:r w:rsidRPr="00034B94">
        <w:t>Door brede spreiding wordt het eventuele beleggingsrisico zoveel mogelijk beperkt</w:t>
      </w:r>
      <w:r>
        <w:t xml:space="preserve">. De </w:t>
      </w:r>
      <w:r w:rsidR="00ED62D7">
        <w:t>&lt;NAAM ORGANISATIE&gt;</w:t>
      </w:r>
      <w:r>
        <w:t xml:space="preserve"> heeft de Beheerder gemandateerd om de portefeuille te beheren, rekening houdende met de volgende spreiding:</w:t>
      </w:r>
    </w:p>
    <w:p w14:paraId="3A15AAEC" w14:textId="46D195EC" w:rsidR="00034B94" w:rsidRDefault="00034B94" w:rsidP="00034B94">
      <w:pPr>
        <w:autoSpaceDE w:val="0"/>
        <w:autoSpaceDN w:val="0"/>
        <w:adjustRightInd w:val="0"/>
        <w:spacing w:line="240" w:lineRule="auto"/>
      </w:pPr>
    </w:p>
    <w:p w14:paraId="71715A98" w14:textId="7364A7DD" w:rsidR="00464B96" w:rsidRDefault="00464B96" w:rsidP="00034B94">
      <w:pPr>
        <w:autoSpaceDE w:val="0"/>
        <w:autoSpaceDN w:val="0"/>
        <w:adjustRightInd w:val="0"/>
        <w:spacing w:line="240" w:lineRule="auto"/>
      </w:pPr>
      <w:r w:rsidRPr="0059590B">
        <w:rPr>
          <w:highlight w:val="yellow"/>
        </w:rPr>
        <w:t xml:space="preserve">PERCENTAGES INVULLEN O.B.V. </w:t>
      </w:r>
      <w:r w:rsidR="0059590B" w:rsidRPr="0059590B">
        <w:rPr>
          <w:highlight w:val="yellow"/>
        </w:rPr>
        <w:t>RISICOPROFIEL ORGANISATIE</w:t>
      </w:r>
    </w:p>
    <w:p w14:paraId="0563200F" w14:textId="77777777" w:rsidR="00464B96" w:rsidRDefault="00464B96" w:rsidP="00034B94">
      <w:pPr>
        <w:autoSpaceDE w:val="0"/>
        <w:autoSpaceDN w:val="0"/>
        <w:adjustRightInd w:val="0"/>
        <w:spacing w:line="240" w:lineRule="auto"/>
      </w:pPr>
    </w:p>
    <w:tbl>
      <w:tblPr>
        <w:tblW w:w="0" w:type="auto"/>
        <w:tblInd w:w="284" w:type="dxa"/>
        <w:tblCellMar>
          <w:left w:w="0" w:type="dxa"/>
          <w:right w:w="0" w:type="dxa"/>
        </w:tblCellMar>
        <w:tblLook w:val="04A0" w:firstRow="1" w:lastRow="0" w:firstColumn="1" w:lastColumn="0" w:noHBand="0" w:noVBand="1"/>
      </w:tblPr>
      <w:tblGrid>
        <w:gridCol w:w="2432"/>
        <w:gridCol w:w="1162"/>
        <w:gridCol w:w="1163"/>
        <w:gridCol w:w="1163"/>
      </w:tblGrid>
      <w:tr w:rsidR="00034B94" w:rsidRPr="00034B94" w14:paraId="346B40FB" w14:textId="77777777" w:rsidTr="00034B94">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AEF15" w14:textId="77777777" w:rsidR="00034B94" w:rsidRPr="00034B94" w:rsidRDefault="00034B94" w:rsidP="005D4E1C">
            <w:pPr>
              <w:spacing w:line="240" w:lineRule="auto"/>
              <w:rPr>
                <w:rFonts w:eastAsia="Calibri" w:cs="Arial"/>
                <w:b/>
                <w:bCs/>
                <w:color w:val="4B4D58"/>
                <w:lang w:eastAsia="ja-JP"/>
              </w:rPr>
            </w:pPr>
            <w:r w:rsidRPr="00034B94">
              <w:rPr>
                <w:rFonts w:eastAsia="Calibri" w:cs="Arial"/>
                <w:b/>
                <w:bCs/>
                <w:color w:val="4B4D58"/>
                <w:lang w:eastAsia="en-US"/>
              </w:rPr>
              <w:t>Vermogenscategorieën</w:t>
            </w:r>
          </w:p>
        </w:tc>
        <w:tc>
          <w:tcPr>
            <w:tcW w:w="11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C2E02F" w14:textId="77777777" w:rsidR="00034B94" w:rsidRPr="00034B94" w:rsidRDefault="00034B94" w:rsidP="005D4E1C">
            <w:pPr>
              <w:spacing w:line="240" w:lineRule="auto"/>
              <w:rPr>
                <w:rFonts w:eastAsia="Calibri" w:cs="Arial"/>
                <w:b/>
                <w:bCs/>
                <w:color w:val="4B4D58"/>
                <w:lang w:eastAsia="ja-JP"/>
              </w:rPr>
            </w:pPr>
            <w:r w:rsidRPr="00034B94">
              <w:rPr>
                <w:rFonts w:eastAsia="Calibri" w:cs="Arial"/>
                <w:b/>
                <w:bCs/>
                <w:color w:val="4B4D58"/>
                <w:lang w:eastAsia="en-US"/>
              </w:rPr>
              <w:t>Minimum</w:t>
            </w:r>
          </w:p>
        </w:tc>
        <w:tc>
          <w:tcPr>
            <w:tcW w:w="11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1F1FBF" w14:textId="77777777" w:rsidR="00034B94" w:rsidRPr="00034B94" w:rsidRDefault="00034B94" w:rsidP="005D4E1C">
            <w:pPr>
              <w:spacing w:line="240" w:lineRule="auto"/>
              <w:rPr>
                <w:rFonts w:eastAsia="Calibri" w:cs="Arial"/>
                <w:b/>
                <w:bCs/>
                <w:color w:val="4B4D58"/>
                <w:lang w:eastAsia="ja-JP"/>
              </w:rPr>
            </w:pPr>
            <w:r w:rsidRPr="00034B94">
              <w:rPr>
                <w:rFonts w:eastAsia="Calibri" w:cs="Arial"/>
                <w:b/>
                <w:bCs/>
                <w:color w:val="4B4D58"/>
                <w:lang w:eastAsia="en-US"/>
              </w:rPr>
              <w:t>Neutraal</w:t>
            </w:r>
          </w:p>
        </w:tc>
        <w:tc>
          <w:tcPr>
            <w:tcW w:w="11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11D6D3" w14:textId="77777777" w:rsidR="00034B94" w:rsidRPr="00034B94" w:rsidRDefault="00034B94" w:rsidP="005D4E1C">
            <w:pPr>
              <w:spacing w:line="240" w:lineRule="auto"/>
              <w:rPr>
                <w:rFonts w:eastAsia="Calibri" w:cs="Arial"/>
                <w:b/>
                <w:bCs/>
                <w:color w:val="4B4D58"/>
                <w:lang w:eastAsia="ja-JP"/>
              </w:rPr>
            </w:pPr>
            <w:r w:rsidRPr="00034B94">
              <w:rPr>
                <w:rFonts w:eastAsia="Calibri" w:cs="Arial"/>
                <w:b/>
                <w:bCs/>
                <w:color w:val="4B4D58"/>
                <w:lang w:eastAsia="en-US"/>
              </w:rPr>
              <w:t>Maximum</w:t>
            </w:r>
          </w:p>
        </w:tc>
      </w:tr>
      <w:tr w:rsidR="00034B94" w:rsidRPr="00034B94" w14:paraId="4032868E" w14:textId="77777777" w:rsidTr="00464B96">
        <w:tc>
          <w:tcPr>
            <w:tcW w:w="2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A8BF58" w14:textId="77777777" w:rsidR="00034B94" w:rsidRPr="00034B94" w:rsidRDefault="00034B94" w:rsidP="005D4E1C">
            <w:pPr>
              <w:spacing w:line="240" w:lineRule="auto"/>
              <w:rPr>
                <w:rFonts w:eastAsia="Calibri" w:cs="Arial"/>
                <w:color w:val="000000"/>
                <w:lang w:eastAsia="ja-JP"/>
              </w:rPr>
            </w:pPr>
            <w:r w:rsidRPr="00034B94">
              <w:rPr>
                <w:rFonts w:eastAsia="Calibri" w:cs="Arial"/>
                <w:lang w:eastAsia="en-US"/>
              </w:rPr>
              <w:t>Aandelen</w:t>
            </w:r>
          </w:p>
        </w:tc>
        <w:tc>
          <w:tcPr>
            <w:tcW w:w="1162" w:type="dxa"/>
            <w:tcBorders>
              <w:top w:val="nil"/>
              <w:left w:val="nil"/>
              <w:bottom w:val="single" w:sz="8" w:space="0" w:color="000000"/>
              <w:right w:val="single" w:sz="8" w:space="0" w:color="000000"/>
            </w:tcBorders>
            <w:tcMar>
              <w:top w:w="0" w:type="dxa"/>
              <w:left w:w="108" w:type="dxa"/>
              <w:bottom w:w="0" w:type="dxa"/>
              <w:right w:w="108" w:type="dxa"/>
            </w:tcMar>
          </w:tcPr>
          <w:p w14:paraId="11C14480" w14:textId="7788CAAF" w:rsidR="00034B94" w:rsidRPr="00034B94" w:rsidRDefault="0059590B" w:rsidP="005D4E1C">
            <w:pPr>
              <w:spacing w:line="240" w:lineRule="auto"/>
              <w:jc w:val="right"/>
              <w:rPr>
                <w:rFonts w:eastAsia="Calibri" w:cs="Arial"/>
                <w:color w:val="000000"/>
                <w:lang w:eastAsia="ja-JP"/>
              </w:rPr>
            </w:pPr>
            <w:r>
              <w:rPr>
                <w:rFonts w:eastAsia="Calibri" w:cs="Arial"/>
                <w:color w:val="000000"/>
                <w:lang w:eastAsia="ja-JP"/>
              </w:rPr>
              <w:t>%</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3E6D9873" w14:textId="55D49016" w:rsidR="00034B94" w:rsidRPr="00034B94" w:rsidRDefault="0059590B" w:rsidP="005D4E1C">
            <w:pPr>
              <w:spacing w:line="240" w:lineRule="auto"/>
              <w:jc w:val="right"/>
              <w:rPr>
                <w:rFonts w:eastAsia="Calibri" w:cs="Arial"/>
                <w:color w:val="000000"/>
                <w:lang w:eastAsia="ja-JP"/>
              </w:rPr>
            </w:pPr>
            <w:r>
              <w:rPr>
                <w:rFonts w:eastAsia="Calibri" w:cs="Arial"/>
                <w:color w:val="000000"/>
                <w:lang w:eastAsia="ja-JP"/>
              </w:rPr>
              <w:t>%</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0D7E453A" w14:textId="56A88737" w:rsidR="00034B94" w:rsidRPr="00034B94" w:rsidRDefault="0059590B" w:rsidP="005D4E1C">
            <w:pPr>
              <w:spacing w:line="240" w:lineRule="auto"/>
              <w:jc w:val="right"/>
              <w:rPr>
                <w:rFonts w:eastAsia="Calibri" w:cs="Arial"/>
                <w:color w:val="000000"/>
                <w:lang w:eastAsia="ja-JP"/>
              </w:rPr>
            </w:pPr>
            <w:r>
              <w:rPr>
                <w:rFonts w:eastAsia="Calibri" w:cs="Arial"/>
                <w:color w:val="000000"/>
                <w:lang w:eastAsia="ja-JP"/>
              </w:rPr>
              <w:t>%</w:t>
            </w:r>
          </w:p>
        </w:tc>
      </w:tr>
      <w:tr w:rsidR="0059590B" w:rsidRPr="00034B94" w14:paraId="7E3AEB5F" w14:textId="77777777" w:rsidTr="00464B96">
        <w:tc>
          <w:tcPr>
            <w:tcW w:w="2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60D02C" w14:textId="77777777" w:rsidR="0059590B" w:rsidRPr="00034B94" w:rsidRDefault="0059590B" w:rsidP="0059590B">
            <w:pPr>
              <w:spacing w:line="240" w:lineRule="auto"/>
              <w:rPr>
                <w:rFonts w:eastAsia="Calibri" w:cs="Arial"/>
                <w:color w:val="000000"/>
                <w:lang w:eastAsia="ja-JP"/>
              </w:rPr>
            </w:pPr>
            <w:r w:rsidRPr="00034B94">
              <w:rPr>
                <w:rFonts w:eastAsia="Calibri" w:cs="Arial"/>
                <w:lang w:eastAsia="en-US"/>
              </w:rPr>
              <w:t>Obligaties</w:t>
            </w:r>
          </w:p>
        </w:tc>
        <w:tc>
          <w:tcPr>
            <w:tcW w:w="1162" w:type="dxa"/>
            <w:tcBorders>
              <w:top w:val="nil"/>
              <w:left w:val="nil"/>
              <w:bottom w:val="single" w:sz="8" w:space="0" w:color="000000"/>
              <w:right w:val="single" w:sz="8" w:space="0" w:color="000000"/>
            </w:tcBorders>
            <w:tcMar>
              <w:top w:w="0" w:type="dxa"/>
              <w:left w:w="108" w:type="dxa"/>
              <w:bottom w:w="0" w:type="dxa"/>
              <w:right w:w="108" w:type="dxa"/>
            </w:tcMar>
          </w:tcPr>
          <w:p w14:paraId="361F18FA" w14:textId="53C74ADD"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620E055C" w14:textId="1F8FE6DD"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4EF092C2" w14:textId="6E98794F"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r>
      <w:tr w:rsidR="0059590B" w:rsidRPr="00034B94" w14:paraId="38971165" w14:textId="77777777" w:rsidTr="00464B96">
        <w:tc>
          <w:tcPr>
            <w:tcW w:w="2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64A5FB" w14:textId="77777777" w:rsidR="0059590B" w:rsidRPr="00034B94" w:rsidRDefault="0059590B" w:rsidP="0059590B">
            <w:pPr>
              <w:spacing w:line="240" w:lineRule="auto"/>
              <w:rPr>
                <w:rFonts w:eastAsia="Calibri" w:cs="Arial"/>
                <w:color w:val="000000"/>
                <w:lang w:eastAsia="ja-JP"/>
              </w:rPr>
            </w:pPr>
            <w:r w:rsidRPr="00034B94">
              <w:rPr>
                <w:rFonts w:eastAsia="Calibri" w:cs="Arial"/>
                <w:lang w:eastAsia="en-US"/>
              </w:rPr>
              <w:t>Alternatieve beleggingen</w:t>
            </w:r>
          </w:p>
        </w:tc>
        <w:tc>
          <w:tcPr>
            <w:tcW w:w="1162" w:type="dxa"/>
            <w:tcBorders>
              <w:top w:val="nil"/>
              <w:left w:val="nil"/>
              <w:bottom w:val="single" w:sz="8" w:space="0" w:color="000000"/>
              <w:right w:val="single" w:sz="8" w:space="0" w:color="000000"/>
            </w:tcBorders>
            <w:tcMar>
              <w:top w:w="0" w:type="dxa"/>
              <w:left w:w="108" w:type="dxa"/>
              <w:bottom w:w="0" w:type="dxa"/>
              <w:right w:w="108" w:type="dxa"/>
            </w:tcMar>
          </w:tcPr>
          <w:p w14:paraId="71405B6F" w14:textId="33CD3FD5"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4D009594" w14:textId="6416ACB6"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2A772A1B" w14:textId="54ECB641"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r>
      <w:tr w:rsidR="0059590B" w:rsidRPr="00034B94" w14:paraId="5C99F278" w14:textId="77777777" w:rsidTr="00464B96">
        <w:tc>
          <w:tcPr>
            <w:tcW w:w="2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832364" w14:textId="77777777" w:rsidR="0059590B" w:rsidRPr="00034B94" w:rsidRDefault="0059590B" w:rsidP="0059590B">
            <w:pPr>
              <w:spacing w:line="240" w:lineRule="auto"/>
              <w:rPr>
                <w:rFonts w:eastAsia="Calibri" w:cs="Arial"/>
                <w:color w:val="000000"/>
                <w:lang w:eastAsia="ja-JP"/>
              </w:rPr>
            </w:pPr>
            <w:r w:rsidRPr="00034B94">
              <w:rPr>
                <w:rFonts w:eastAsia="Calibri" w:cs="Arial"/>
                <w:lang w:eastAsia="en-US"/>
              </w:rPr>
              <w:t>Liquiditeiten</w:t>
            </w:r>
          </w:p>
        </w:tc>
        <w:tc>
          <w:tcPr>
            <w:tcW w:w="1162" w:type="dxa"/>
            <w:tcBorders>
              <w:top w:val="nil"/>
              <w:left w:val="nil"/>
              <w:bottom w:val="single" w:sz="8" w:space="0" w:color="000000"/>
              <w:right w:val="single" w:sz="8" w:space="0" w:color="000000"/>
            </w:tcBorders>
            <w:tcMar>
              <w:top w:w="0" w:type="dxa"/>
              <w:left w:w="108" w:type="dxa"/>
              <w:bottom w:w="0" w:type="dxa"/>
              <w:right w:w="108" w:type="dxa"/>
            </w:tcMar>
          </w:tcPr>
          <w:p w14:paraId="3FF162AF" w14:textId="38ABFEFC"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2A63A59F" w14:textId="3961C963"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c>
          <w:tcPr>
            <w:tcW w:w="1163" w:type="dxa"/>
            <w:tcBorders>
              <w:top w:val="nil"/>
              <w:left w:val="nil"/>
              <w:bottom w:val="single" w:sz="8" w:space="0" w:color="000000"/>
              <w:right w:val="single" w:sz="8" w:space="0" w:color="000000"/>
            </w:tcBorders>
            <w:tcMar>
              <w:top w:w="0" w:type="dxa"/>
              <w:left w:w="108" w:type="dxa"/>
              <w:bottom w:w="0" w:type="dxa"/>
              <w:right w:w="108" w:type="dxa"/>
            </w:tcMar>
          </w:tcPr>
          <w:p w14:paraId="4BD59AA1" w14:textId="7777AB82" w:rsidR="0059590B" w:rsidRPr="00034B94" w:rsidRDefault="0059590B" w:rsidP="0059590B">
            <w:pPr>
              <w:spacing w:line="240" w:lineRule="auto"/>
              <w:jc w:val="right"/>
              <w:rPr>
                <w:rFonts w:eastAsia="Calibri" w:cs="Arial"/>
                <w:color w:val="000000"/>
                <w:lang w:eastAsia="ja-JP"/>
              </w:rPr>
            </w:pPr>
            <w:r>
              <w:rPr>
                <w:rFonts w:eastAsia="Calibri" w:cs="Arial"/>
                <w:color w:val="000000"/>
                <w:lang w:eastAsia="ja-JP"/>
              </w:rPr>
              <w:t>%</w:t>
            </w:r>
          </w:p>
        </w:tc>
      </w:tr>
    </w:tbl>
    <w:p w14:paraId="18F7D996" w14:textId="77777777" w:rsidR="00034B94" w:rsidRDefault="00034B94" w:rsidP="00034B94">
      <w:pPr>
        <w:autoSpaceDE w:val="0"/>
        <w:autoSpaceDN w:val="0"/>
        <w:adjustRightInd w:val="0"/>
        <w:spacing w:line="240" w:lineRule="auto"/>
      </w:pPr>
    </w:p>
    <w:p w14:paraId="776309DC" w14:textId="77777777" w:rsidR="009D3528" w:rsidRPr="003214A8" w:rsidRDefault="009D3528" w:rsidP="008B2E0B">
      <w:pPr>
        <w:pStyle w:val="Kop2"/>
        <w:numPr>
          <w:ilvl w:val="0"/>
          <w:numId w:val="0"/>
        </w:numPr>
      </w:pPr>
    </w:p>
    <w:p w14:paraId="2D7E29DE" w14:textId="77777777" w:rsidR="00034B94" w:rsidRPr="00034B94" w:rsidRDefault="00034B94" w:rsidP="00034B94">
      <w:pPr>
        <w:autoSpaceDE w:val="0"/>
        <w:autoSpaceDN w:val="0"/>
        <w:adjustRightInd w:val="0"/>
        <w:spacing w:line="240" w:lineRule="auto"/>
      </w:pPr>
    </w:p>
    <w:p w14:paraId="5C1907AF" w14:textId="77777777" w:rsidR="00842462" w:rsidRDefault="00842462">
      <w:pPr>
        <w:spacing w:before="0" w:line="240" w:lineRule="auto"/>
        <w:rPr>
          <w:b/>
          <w:sz w:val="28"/>
        </w:rPr>
      </w:pPr>
      <w:r>
        <w:br w:type="page"/>
      </w:r>
    </w:p>
    <w:p w14:paraId="47489CD7" w14:textId="77777777" w:rsidR="00621DFF" w:rsidRDefault="00621DFF" w:rsidP="00621DFF">
      <w:pPr>
        <w:pStyle w:val="Kop1"/>
        <w:spacing w:line="240" w:lineRule="auto"/>
      </w:pPr>
      <w:bookmarkStart w:id="28" w:name="_Toc529964436"/>
      <w:proofErr w:type="spellStart"/>
      <w:r>
        <w:t>Treasuryplan</w:t>
      </w:r>
      <w:bookmarkEnd w:id="28"/>
      <w:proofErr w:type="spellEnd"/>
    </w:p>
    <w:p w14:paraId="47B5BCE5" w14:textId="77777777" w:rsidR="00621DFF" w:rsidRDefault="00621DFF" w:rsidP="00621DFF">
      <w:r>
        <w:t xml:space="preserve">Het </w:t>
      </w:r>
      <w:proofErr w:type="spellStart"/>
      <w:r>
        <w:t>treasuryplan</w:t>
      </w:r>
      <w:proofErr w:type="spellEnd"/>
      <w:r>
        <w:t xml:space="preserve"> maakt onderdeel uit van de begrotingsstukken, waarin de volgende zaken zijn opgenomen:</w:t>
      </w:r>
    </w:p>
    <w:p w14:paraId="221C8066" w14:textId="77777777" w:rsidR="00621DFF" w:rsidRDefault="00621DFF" w:rsidP="003A7045">
      <w:pPr>
        <w:pStyle w:val="Lijstalinea"/>
        <w:numPr>
          <w:ilvl w:val="0"/>
          <w:numId w:val="31"/>
        </w:numPr>
      </w:pPr>
      <w:r>
        <w:t>Liquiditeitenplanning (korte en middellange termijn)</w:t>
      </w:r>
      <w:r w:rsidR="006C2DF0">
        <w:t xml:space="preserve">: </w:t>
      </w:r>
      <w:r>
        <w:t>De liquiditeitenplanning voor de eerstvolgende 12 maanden is grotendeels gebaseerd op historische patronen, aangevuld met recentere gegevens voor zover voorhanden. De planning op korte en middellange termijn (2 jaar) is tevens een weerslag van de verwachtinge</w:t>
      </w:r>
      <w:r w:rsidR="0024524E">
        <w:t>n ten aanzien van investeringen;</w:t>
      </w:r>
    </w:p>
    <w:p w14:paraId="3A768F6A" w14:textId="77777777" w:rsidR="006C2DF0" w:rsidRDefault="00621DFF" w:rsidP="003A7045">
      <w:pPr>
        <w:pStyle w:val="Lijstalinea"/>
        <w:numPr>
          <w:ilvl w:val="0"/>
          <w:numId w:val="31"/>
        </w:numPr>
      </w:pPr>
      <w:r>
        <w:t>Beschikbaarheid (korte en langere termijn)</w:t>
      </w:r>
      <w:r w:rsidR="006C2DF0">
        <w:t xml:space="preserve">: </w:t>
      </w:r>
      <w:r>
        <w:t>Op basis van de korte termijn planning word</w:t>
      </w:r>
      <w:r w:rsidR="00EB0242">
        <w:t>t</w:t>
      </w:r>
      <w:r>
        <w:t xml:space="preserve"> aangegeven hoeveel kasgeld minimaal</w:t>
      </w:r>
      <w:r w:rsidR="006C2DF0">
        <w:t xml:space="preserve"> </w:t>
      </w:r>
      <w:r w:rsidR="0024524E">
        <w:t>en maximaal noodzakelijk is;</w:t>
      </w:r>
      <w:r>
        <w:t xml:space="preserve"> </w:t>
      </w:r>
    </w:p>
    <w:p w14:paraId="71689E7C" w14:textId="4347640D" w:rsidR="00621DFF" w:rsidRDefault="006C2DF0" w:rsidP="003A7045">
      <w:pPr>
        <w:pStyle w:val="Lijstalinea"/>
        <w:numPr>
          <w:ilvl w:val="0"/>
          <w:numId w:val="31"/>
        </w:numPr>
      </w:pPr>
      <w:r>
        <w:t xml:space="preserve">Beleggingen: </w:t>
      </w:r>
      <w:r w:rsidR="00621DFF">
        <w:t xml:space="preserve">Hier wordt </w:t>
      </w:r>
      <w:r>
        <w:t xml:space="preserve">aangegeven hoeveel de </w:t>
      </w:r>
      <w:r w:rsidR="00ED62D7">
        <w:t>&lt;NAAM ORGANISATIE&gt;</w:t>
      </w:r>
      <w:r>
        <w:t xml:space="preserve"> beschikbaar heeft om in vermogensbeheer te kunnen onderbrengen</w:t>
      </w:r>
      <w:r w:rsidR="00621DFF">
        <w:t>.</w:t>
      </w:r>
      <w:r>
        <w:t xml:space="preserve"> Het betreft hier middelen die lan</w:t>
      </w:r>
      <w:r w:rsidR="0024524E">
        <w:t>ger dan 1 jaar beschikbaar zijn;</w:t>
      </w:r>
    </w:p>
    <w:p w14:paraId="5594F81A" w14:textId="77777777" w:rsidR="00632889" w:rsidRDefault="00632889" w:rsidP="003A7045">
      <w:pPr>
        <w:pStyle w:val="Lijstalinea"/>
        <w:numPr>
          <w:ilvl w:val="0"/>
          <w:numId w:val="31"/>
        </w:numPr>
      </w:pPr>
      <w:r>
        <w:t>Onttrekkingen uit vermogensbeheer: Hier wordt het plafond aangege</w:t>
      </w:r>
      <w:r w:rsidR="00BF10ED">
        <w:t xml:space="preserve">ven van het bedrag dat in het lopende begrotingsjaar </w:t>
      </w:r>
      <w:r w:rsidR="00290422">
        <w:t xml:space="preserve">maximaal </w:t>
      </w:r>
      <w:r w:rsidR="00BF10ED">
        <w:t xml:space="preserve">kan worden onttrokken. </w:t>
      </w:r>
    </w:p>
    <w:p w14:paraId="4EFEDD6E" w14:textId="47A02F7B" w:rsidR="00EB0242" w:rsidRDefault="00EB0242" w:rsidP="003A7045">
      <w:pPr>
        <w:pStyle w:val="Lijstalinea"/>
        <w:numPr>
          <w:ilvl w:val="0"/>
          <w:numId w:val="31"/>
        </w:numPr>
      </w:pPr>
      <w:r>
        <w:t xml:space="preserve">Toevoegingen uit vermogensbeheer: </w:t>
      </w:r>
      <w:r w:rsidR="002C32AA">
        <w:t xml:space="preserve">Hier wordt aangegeven hoeveel de </w:t>
      </w:r>
      <w:r w:rsidR="00ED62D7">
        <w:t>&lt;NAAM ORGANISATIE&gt;</w:t>
      </w:r>
      <w:r w:rsidR="002C32AA">
        <w:t xml:space="preserve"> in het </w:t>
      </w:r>
      <w:r w:rsidR="003E1FED">
        <w:t xml:space="preserve">lopende </w:t>
      </w:r>
      <w:r w:rsidR="002C32AA">
        <w:t xml:space="preserve">begrotingsjaar </w:t>
      </w:r>
      <w:r w:rsidR="003E1FED">
        <w:t>verwacht te kunnen gaan toevoegen (zie ook paragraaf 2.3).</w:t>
      </w:r>
    </w:p>
    <w:p w14:paraId="22819297" w14:textId="77777777" w:rsidR="00F06D88" w:rsidRDefault="00F06D88" w:rsidP="006C2DF0"/>
    <w:p w14:paraId="5FE16539" w14:textId="77777777" w:rsidR="006C2DF0" w:rsidRDefault="00F06D88" w:rsidP="006C2DF0">
      <w:r>
        <w:t xml:space="preserve">Uit het </w:t>
      </w:r>
      <w:proofErr w:type="spellStart"/>
      <w:r>
        <w:t>treasuryplan</w:t>
      </w:r>
      <w:proofErr w:type="spellEnd"/>
      <w:r>
        <w:t xml:space="preserve"> volgt een voorstel voor geplande acties. Conform paragraaf </w:t>
      </w:r>
      <w:r w:rsidR="008B2E0B">
        <w:t>3</w:t>
      </w:r>
      <w:r>
        <w:t>.3 kan het bestuur daarnaar handelen.</w:t>
      </w:r>
      <w:r w:rsidR="002739B1">
        <w:t xml:space="preserve"> </w:t>
      </w:r>
    </w:p>
    <w:p w14:paraId="64F528A7" w14:textId="77777777" w:rsidR="003A7045" w:rsidRDefault="003A7045">
      <w:pPr>
        <w:spacing w:before="0" w:line="240" w:lineRule="auto"/>
        <w:rPr>
          <w:b/>
          <w:sz w:val="28"/>
        </w:rPr>
      </w:pPr>
    </w:p>
    <w:p w14:paraId="2C256C8E" w14:textId="77777777" w:rsidR="008B2E0B" w:rsidRDefault="008B2E0B" w:rsidP="00EE6935">
      <w:pPr>
        <w:pStyle w:val="Kop1"/>
        <w:numPr>
          <w:ilvl w:val="0"/>
          <w:numId w:val="0"/>
        </w:numPr>
        <w:spacing w:line="240" w:lineRule="auto"/>
      </w:pPr>
    </w:p>
    <w:p w14:paraId="32C24DEA" w14:textId="26F1DF88" w:rsidR="008B2E0B" w:rsidRDefault="008B2E0B">
      <w:pPr>
        <w:spacing w:before="0" w:line="240" w:lineRule="auto"/>
        <w:rPr>
          <w:b/>
          <w:sz w:val="28"/>
        </w:rPr>
      </w:pPr>
      <w:r>
        <w:br w:type="page"/>
      </w:r>
    </w:p>
    <w:p w14:paraId="6333EB0A" w14:textId="77777777" w:rsidR="00D524FC" w:rsidRPr="00EE6935" w:rsidRDefault="00D524FC" w:rsidP="00EE6935">
      <w:pPr>
        <w:pStyle w:val="Kop1"/>
        <w:numPr>
          <w:ilvl w:val="0"/>
          <w:numId w:val="0"/>
        </w:numPr>
        <w:spacing w:line="240" w:lineRule="auto"/>
        <w:rPr>
          <w:b w:val="0"/>
        </w:rPr>
      </w:pPr>
      <w:bookmarkStart w:id="29" w:name="_Toc529964437"/>
      <w:r w:rsidRPr="00EE6935">
        <w:t>Bijlage</w:t>
      </w:r>
      <w:r w:rsidR="009A7D90">
        <w:t xml:space="preserve"> </w:t>
      </w:r>
      <w:r w:rsidR="00390CB0">
        <w:t>1</w:t>
      </w:r>
      <w:r w:rsidR="009A7D90">
        <w:t xml:space="preserve"> </w:t>
      </w:r>
      <w:r w:rsidR="00154731">
        <w:t>–</w:t>
      </w:r>
      <w:r w:rsidR="009A7D90">
        <w:t xml:space="preserve"> </w:t>
      </w:r>
      <w:r w:rsidRPr="00EE6935">
        <w:t>Duurzaamheids</w:t>
      </w:r>
      <w:r w:rsidR="00154731">
        <w:t>-uitsluitingen</w:t>
      </w:r>
      <w:bookmarkEnd w:id="29"/>
    </w:p>
    <w:p w14:paraId="59CCC116" w14:textId="77777777" w:rsidR="00D524FC" w:rsidRDefault="00D524FC" w:rsidP="00D524FC">
      <w:pPr>
        <w:spacing w:line="240" w:lineRule="exact"/>
        <w:rPr>
          <w:rFonts w:cs="Arial"/>
          <w:color w:val="000000"/>
        </w:rPr>
      </w:pPr>
    </w:p>
    <w:p w14:paraId="1F185CC2" w14:textId="77777777" w:rsidR="00D524FC" w:rsidRDefault="0062529C" w:rsidP="00D524FC">
      <w:pPr>
        <w:spacing w:line="240" w:lineRule="exact"/>
        <w:rPr>
          <w:rFonts w:cs="Arial"/>
          <w:color w:val="000000"/>
        </w:rPr>
      </w:pPr>
      <w:r>
        <w:rPr>
          <w:rFonts w:cs="Arial"/>
          <w:color w:val="000000"/>
        </w:rPr>
        <w:t>Bij het opstellen van de duurzaamheids-uitsluitingen is gebruik gemaakt van de ‘Handreiking Verantwoord Ver</w:t>
      </w:r>
      <w:r w:rsidR="002F0862">
        <w:rPr>
          <w:rFonts w:cs="Arial"/>
          <w:color w:val="000000"/>
        </w:rPr>
        <w:t>mogensbeheer Fond</w:t>
      </w:r>
      <w:r w:rsidR="00062379">
        <w:rPr>
          <w:rFonts w:cs="Arial"/>
          <w:color w:val="000000"/>
        </w:rPr>
        <w:t xml:space="preserve">senwervende Instellingen van Goede Doelen Nederland’. Per categorie is met behulp van </w:t>
      </w:r>
      <w:proofErr w:type="spellStart"/>
      <w:r w:rsidR="00747F00">
        <w:rPr>
          <w:rFonts w:cs="Arial"/>
          <w:color w:val="000000"/>
        </w:rPr>
        <w:t>Sustainalitics</w:t>
      </w:r>
      <w:proofErr w:type="spellEnd"/>
      <w:r w:rsidR="00062379">
        <w:rPr>
          <w:rFonts w:cs="Arial"/>
          <w:color w:val="000000"/>
        </w:rPr>
        <w:t xml:space="preserve"> een standpunt vastgesteld.</w:t>
      </w:r>
    </w:p>
    <w:p w14:paraId="04AB4A4F" w14:textId="77777777" w:rsidR="00062379" w:rsidRDefault="00062379" w:rsidP="00D524FC">
      <w:pPr>
        <w:spacing w:line="240" w:lineRule="exact"/>
        <w:rPr>
          <w:rFonts w:cs="Arial"/>
          <w:color w:val="000000"/>
        </w:rPr>
      </w:pPr>
    </w:p>
    <w:p w14:paraId="3A4E6548" w14:textId="77777777" w:rsidR="000F37D9" w:rsidRDefault="005C15C2" w:rsidP="000F37D9">
      <w:pPr>
        <w:spacing w:after="240" w:line="240" w:lineRule="exact"/>
        <w:rPr>
          <w:rFonts w:cs="Arial"/>
          <w:color w:val="000000"/>
        </w:rPr>
      </w:pPr>
      <w:r>
        <w:rPr>
          <w:rFonts w:cs="Arial"/>
          <w:color w:val="000000"/>
        </w:rPr>
        <w:t>Uitsluitingscategorieën die worden gehanteerd zijn:</w:t>
      </w:r>
    </w:p>
    <w:tbl>
      <w:tblPr>
        <w:tblStyle w:val="Tabelraster"/>
        <w:tblW w:w="0" w:type="auto"/>
        <w:tblLook w:val="04A0" w:firstRow="1" w:lastRow="0" w:firstColumn="1" w:lastColumn="0" w:noHBand="0" w:noVBand="1"/>
      </w:tblPr>
      <w:tblGrid>
        <w:gridCol w:w="2212"/>
        <w:gridCol w:w="7191"/>
      </w:tblGrid>
      <w:tr w:rsidR="000F37D9" w14:paraId="53E2ADE6" w14:textId="77777777" w:rsidTr="000F37D9">
        <w:trPr>
          <w:trHeight w:val="443"/>
        </w:trPr>
        <w:tc>
          <w:tcPr>
            <w:tcW w:w="2235" w:type="dxa"/>
          </w:tcPr>
          <w:p w14:paraId="6C9057EA" w14:textId="77777777" w:rsidR="000F37D9" w:rsidRDefault="000F37D9" w:rsidP="00D524FC">
            <w:pPr>
              <w:spacing w:line="240" w:lineRule="exact"/>
              <w:rPr>
                <w:rFonts w:cs="Arial"/>
                <w:b/>
                <w:color w:val="000000"/>
              </w:rPr>
            </w:pPr>
            <w:r>
              <w:rPr>
                <w:rFonts w:cs="Arial"/>
                <w:b/>
                <w:color w:val="000000"/>
              </w:rPr>
              <w:t>Volledige uitsluiting</w:t>
            </w:r>
          </w:p>
        </w:tc>
        <w:tc>
          <w:tcPr>
            <w:tcW w:w="7318" w:type="dxa"/>
          </w:tcPr>
          <w:p w14:paraId="7889A743" w14:textId="77777777" w:rsidR="000F37D9" w:rsidRPr="000F37D9" w:rsidRDefault="000F37D9" w:rsidP="00D524FC">
            <w:pPr>
              <w:spacing w:line="240" w:lineRule="exact"/>
              <w:rPr>
                <w:rFonts w:cs="Arial"/>
                <w:color w:val="000000"/>
              </w:rPr>
            </w:pPr>
            <w:r>
              <w:rPr>
                <w:rFonts w:cs="Arial"/>
                <w:color w:val="000000"/>
              </w:rPr>
              <w:t>Bedrijven worden uitgesloten.</w:t>
            </w:r>
          </w:p>
        </w:tc>
      </w:tr>
      <w:tr w:rsidR="000F37D9" w14:paraId="5ADED486" w14:textId="77777777" w:rsidTr="000F37D9">
        <w:tc>
          <w:tcPr>
            <w:tcW w:w="2235" w:type="dxa"/>
          </w:tcPr>
          <w:p w14:paraId="3A36346F" w14:textId="6C1B312C" w:rsidR="000F37D9" w:rsidRDefault="00B910AD" w:rsidP="00D524FC">
            <w:pPr>
              <w:spacing w:line="240" w:lineRule="exact"/>
              <w:rPr>
                <w:rFonts w:cs="Arial"/>
                <w:b/>
                <w:color w:val="000000"/>
              </w:rPr>
            </w:pPr>
            <w:r>
              <w:rPr>
                <w:rFonts w:cs="Arial"/>
                <w:b/>
                <w:color w:val="000000"/>
              </w:rPr>
              <w:t>X</w:t>
            </w:r>
            <w:r w:rsidR="000F37D9">
              <w:rPr>
                <w:rFonts w:cs="Arial"/>
                <w:b/>
                <w:color w:val="000000"/>
              </w:rPr>
              <w:t>% categorie</w:t>
            </w:r>
          </w:p>
        </w:tc>
        <w:tc>
          <w:tcPr>
            <w:tcW w:w="7318" w:type="dxa"/>
          </w:tcPr>
          <w:p w14:paraId="4C866508" w14:textId="5A12992C" w:rsidR="000F37D9" w:rsidRDefault="000F37D9" w:rsidP="000F37D9">
            <w:pPr>
              <w:spacing w:line="240" w:lineRule="exact"/>
              <w:ind w:left="34"/>
              <w:rPr>
                <w:rFonts w:cs="Arial"/>
                <w:b/>
                <w:color w:val="000000"/>
              </w:rPr>
            </w:pPr>
            <w:r>
              <w:rPr>
                <w:rFonts w:cs="Arial"/>
                <w:color w:val="000000"/>
              </w:rPr>
              <w:t xml:space="preserve">Bedrijven worden uitgesloten indien de omzet van de onderneming voor meer dan </w:t>
            </w:r>
            <w:r w:rsidR="00B910AD">
              <w:rPr>
                <w:rFonts w:cs="Arial"/>
                <w:color w:val="000000"/>
              </w:rPr>
              <w:t>X</w:t>
            </w:r>
            <w:r>
              <w:rPr>
                <w:rFonts w:cs="Arial"/>
                <w:color w:val="000000"/>
              </w:rPr>
              <w:t>% bestaat uit omzet in de van toepassing zijnde categorie.</w:t>
            </w:r>
          </w:p>
        </w:tc>
      </w:tr>
    </w:tbl>
    <w:p w14:paraId="318BF2BF" w14:textId="3252EF8E" w:rsidR="00A31096" w:rsidRPr="00A31096" w:rsidRDefault="00A31096" w:rsidP="00A31096">
      <w:pPr>
        <w:spacing w:line="240" w:lineRule="exact"/>
        <w:rPr>
          <w:rFonts w:cs="Arial"/>
          <w:color w:val="000000"/>
        </w:rPr>
      </w:pPr>
      <w:r>
        <w:rPr>
          <w:rFonts w:cs="Arial"/>
          <w:color w:val="000000"/>
        </w:rPr>
        <w:t xml:space="preserve">Voor bedrijven in de </w:t>
      </w:r>
      <w:r w:rsidR="000F37D9">
        <w:rPr>
          <w:rFonts w:cs="Arial"/>
          <w:color w:val="000000"/>
        </w:rPr>
        <w:t>R</w:t>
      </w:r>
      <w:r>
        <w:rPr>
          <w:rFonts w:cs="Arial"/>
          <w:color w:val="000000"/>
        </w:rPr>
        <w:t xml:space="preserve">etail sector geldt dat deze bedrijven worden uitgesloten indien de omzet van de onderneming voor meer dan </w:t>
      </w:r>
      <w:r w:rsidR="00B910AD">
        <w:rPr>
          <w:rFonts w:cs="Arial"/>
          <w:color w:val="000000"/>
        </w:rPr>
        <w:t>X</w:t>
      </w:r>
      <w:r>
        <w:rPr>
          <w:rFonts w:cs="Arial"/>
          <w:color w:val="000000"/>
        </w:rPr>
        <w:t>% bestaat uit omzet in de van toepassing zijnde categor</w:t>
      </w:r>
      <w:r w:rsidR="000F37D9">
        <w:rPr>
          <w:rFonts w:cs="Arial"/>
          <w:color w:val="000000"/>
        </w:rPr>
        <w:t>ie.</w:t>
      </w:r>
    </w:p>
    <w:p w14:paraId="60EC4999" w14:textId="77777777" w:rsidR="005C15C2" w:rsidRDefault="005C15C2" w:rsidP="00D524FC">
      <w:pPr>
        <w:spacing w:line="240" w:lineRule="exact"/>
        <w:rPr>
          <w:rFonts w:cs="Arial"/>
          <w:color w:val="000000"/>
        </w:rPr>
      </w:pPr>
    </w:p>
    <w:p w14:paraId="63D065F8" w14:textId="77777777" w:rsidR="00BA18C3" w:rsidRPr="00BA18C3" w:rsidRDefault="00062379" w:rsidP="00BA18C3">
      <w:pPr>
        <w:spacing w:line="240" w:lineRule="exact"/>
        <w:rPr>
          <w:rFonts w:cs="Arial"/>
          <w:b/>
          <w:color w:val="000000"/>
        </w:rPr>
      </w:pPr>
      <w:r w:rsidRPr="00BA18C3">
        <w:rPr>
          <w:rFonts w:cs="Arial"/>
          <w:b/>
          <w:color w:val="000000"/>
        </w:rPr>
        <w:t xml:space="preserve">Controversieel gedrag: </w:t>
      </w:r>
    </w:p>
    <w:p w14:paraId="4CE4D0CE" w14:textId="77777777" w:rsidR="00062379" w:rsidRPr="00BA18C3" w:rsidRDefault="00BA18C3" w:rsidP="00BA18C3">
      <w:pPr>
        <w:spacing w:line="240" w:lineRule="exact"/>
        <w:rPr>
          <w:rFonts w:cs="Arial"/>
          <w:b/>
          <w:color w:val="000000"/>
        </w:rPr>
      </w:pPr>
      <w:r w:rsidRPr="00BA18C3">
        <w:rPr>
          <w:rFonts w:cs="Arial"/>
          <w:color w:val="000000"/>
        </w:rPr>
        <w:t>C</w:t>
      </w:r>
      <w:r w:rsidR="00062379" w:rsidRPr="00BA18C3">
        <w:rPr>
          <w:rFonts w:cs="Arial"/>
          <w:color w:val="000000"/>
        </w:rPr>
        <w:t xml:space="preserve">ontroverse categorieën 4 en 5 </w:t>
      </w:r>
      <w:r w:rsidRPr="00BA18C3">
        <w:rPr>
          <w:rFonts w:cs="Arial"/>
          <w:color w:val="000000"/>
        </w:rPr>
        <w:t xml:space="preserve">van de Global Compact </w:t>
      </w:r>
      <w:proofErr w:type="spellStart"/>
      <w:r w:rsidRPr="00BA18C3">
        <w:rPr>
          <w:rFonts w:cs="Arial"/>
          <w:color w:val="000000"/>
        </w:rPr>
        <w:t>Principles</w:t>
      </w:r>
      <w:proofErr w:type="spellEnd"/>
      <w:r w:rsidRPr="00BA18C3">
        <w:rPr>
          <w:rFonts w:cs="Arial"/>
          <w:color w:val="000000"/>
        </w:rPr>
        <w:t xml:space="preserve"> van de United Nations </w:t>
      </w:r>
      <w:r w:rsidR="00062379" w:rsidRPr="00BA18C3">
        <w:rPr>
          <w:rFonts w:cs="Arial"/>
          <w:color w:val="000000"/>
        </w:rPr>
        <w:t xml:space="preserve">worden </w:t>
      </w:r>
      <w:r w:rsidRPr="00BA18C3">
        <w:rPr>
          <w:rFonts w:cs="Arial"/>
          <w:color w:val="000000"/>
        </w:rPr>
        <w:t xml:space="preserve">volledig </w:t>
      </w:r>
      <w:r w:rsidR="00062379" w:rsidRPr="00BA18C3">
        <w:rPr>
          <w:rFonts w:cs="Arial"/>
          <w:color w:val="000000"/>
        </w:rPr>
        <w:t xml:space="preserve">uitgesloten. </w:t>
      </w:r>
    </w:p>
    <w:p w14:paraId="012B5664" w14:textId="77777777" w:rsidR="00BA18C3" w:rsidRPr="00BA18C3" w:rsidRDefault="00BA18C3" w:rsidP="00BA18C3">
      <w:pPr>
        <w:spacing w:line="240" w:lineRule="exact"/>
        <w:rPr>
          <w:rFonts w:cs="Arial"/>
          <w:b/>
          <w:color w:val="000000"/>
        </w:rPr>
      </w:pPr>
    </w:p>
    <w:p w14:paraId="769DEEDA" w14:textId="77777777" w:rsidR="00BA18C3" w:rsidRPr="00BA18C3" w:rsidRDefault="00BA18C3" w:rsidP="00BA18C3">
      <w:pPr>
        <w:spacing w:line="240" w:lineRule="exact"/>
        <w:rPr>
          <w:rFonts w:cs="Arial"/>
          <w:b/>
          <w:color w:val="000000"/>
          <w:u w:val="single"/>
        </w:rPr>
      </w:pPr>
      <w:r w:rsidRPr="00BA18C3">
        <w:rPr>
          <w:rFonts w:cs="Arial"/>
          <w:b/>
          <w:color w:val="000000"/>
          <w:u w:val="single"/>
        </w:rPr>
        <w:t xml:space="preserve">Controversiële Producten en Diensten </w:t>
      </w:r>
    </w:p>
    <w:p w14:paraId="23E107B3" w14:textId="77777777" w:rsidR="00BA18C3" w:rsidRPr="00FE1663" w:rsidRDefault="005C15C2" w:rsidP="00BA18C3">
      <w:pPr>
        <w:pStyle w:val="Lijstalinea"/>
        <w:numPr>
          <w:ilvl w:val="0"/>
          <w:numId w:val="33"/>
        </w:numPr>
        <w:spacing w:line="240" w:lineRule="exact"/>
        <w:rPr>
          <w:rFonts w:cs="Arial"/>
          <w:b/>
          <w:color w:val="000000"/>
        </w:rPr>
      </w:pPr>
      <w:r>
        <w:rPr>
          <w:rFonts w:cs="Arial"/>
          <w:b/>
          <w:color w:val="000000"/>
        </w:rPr>
        <w:t>Controversiële wapens</w:t>
      </w:r>
      <w:r w:rsidR="00B42E1E">
        <w:rPr>
          <w:rFonts w:cs="Arial"/>
          <w:b/>
          <w:color w:val="000000"/>
        </w:rPr>
        <w:tab/>
      </w:r>
      <w:r w:rsidR="00B42E1E">
        <w:rPr>
          <w:rFonts w:cs="Arial"/>
          <w:b/>
          <w:color w:val="000000"/>
        </w:rPr>
        <w:tab/>
      </w:r>
      <w:r w:rsidR="00B42E1E">
        <w:rPr>
          <w:rFonts w:cs="Arial"/>
          <w:b/>
          <w:color w:val="000000"/>
        </w:rPr>
        <w:tab/>
      </w:r>
      <w:r w:rsidR="00B42E1E">
        <w:rPr>
          <w:rFonts w:cs="Arial"/>
          <w:b/>
          <w:color w:val="000000"/>
        </w:rPr>
        <w:tab/>
      </w:r>
      <w:r w:rsidR="00AD51E7">
        <w:rPr>
          <w:rFonts w:cs="Arial"/>
          <w:b/>
          <w:color w:val="000000"/>
        </w:rPr>
        <w:tab/>
      </w:r>
      <w:r>
        <w:rPr>
          <w:rFonts w:cs="Arial"/>
          <w:b/>
          <w:color w:val="000000"/>
        </w:rPr>
        <w:t>:</w:t>
      </w:r>
      <w:r w:rsidR="00B42E1E">
        <w:rPr>
          <w:rFonts w:cs="Arial"/>
          <w:b/>
          <w:color w:val="000000"/>
        </w:rPr>
        <w:t xml:space="preserve"> </w:t>
      </w:r>
      <w:r w:rsidR="00B42E1E" w:rsidRPr="00B42E1E">
        <w:rPr>
          <w:rFonts w:cs="Arial"/>
          <w:color w:val="000000"/>
        </w:rPr>
        <w:t>V</w:t>
      </w:r>
      <w:r>
        <w:rPr>
          <w:rFonts w:cs="Arial"/>
          <w:color w:val="000000"/>
        </w:rPr>
        <w:t xml:space="preserve">olledige uitsluiting </w:t>
      </w:r>
    </w:p>
    <w:p w14:paraId="0AF12FA1" w14:textId="77777777" w:rsidR="00FE1663" w:rsidRPr="005C15C2" w:rsidRDefault="00FE1663" w:rsidP="00FE1663">
      <w:pPr>
        <w:pStyle w:val="Lijstalinea"/>
        <w:spacing w:line="240" w:lineRule="exact"/>
        <w:ind w:left="360"/>
        <w:rPr>
          <w:rFonts w:cs="Arial"/>
          <w:b/>
          <w:color w:val="000000"/>
        </w:rPr>
      </w:pPr>
    </w:p>
    <w:p w14:paraId="61BCDF8B" w14:textId="16EB4069" w:rsidR="005C15C2" w:rsidRPr="00D14769" w:rsidRDefault="005C15C2" w:rsidP="00BA18C3">
      <w:pPr>
        <w:pStyle w:val="Lijstalinea"/>
        <w:numPr>
          <w:ilvl w:val="0"/>
          <w:numId w:val="33"/>
        </w:numPr>
        <w:spacing w:line="240" w:lineRule="exact"/>
        <w:rPr>
          <w:rFonts w:cs="Arial"/>
          <w:b/>
          <w:color w:val="000000"/>
        </w:rPr>
      </w:pPr>
      <w:r>
        <w:rPr>
          <w:rFonts w:cs="Arial"/>
          <w:b/>
          <w:color w:val="000000"/>
        </w:rPr>
        <w:t>Milieugevaarlijke Stoffen (Pesticiden)</w:t>
      </w:r>
      <w:r w:rsidR="00B42E1E">
        <w:rPr>
          <w:rFonts w:cs="Arial"/>
          <w:b/>
          <w:color w:val="000000"/>
        </w:rPr>
        <w:tab/>
      </w:r>
      <w:r w:rsidR="00B42E1E">
        <w:rPr>
          <w:rFonts w:cs="Arial"/>
          <w:b/>
          <w:color w:val="000000"/>
        </w:rPr>
        <w:tab/>
      </w:r>
      <w:r w:rsidR="00AD51E7">
        <w:rPr>
          <w:rFonts w:cs="Arial"/>
          <w:b/>
          <w:color w:val="000000"/>
        </w:rPr>
        <w:tab/>
      </w:r>
      <w:r>
        <w:rPr>
          <w:rFonts w:cs="Arial"/>
          <w:b/>
          <w:color w:val="000000"/>
        </w:rPr>
        <w:t xml:space="preserve">: </w:t>
      </w:r>
      <w:r w:rsidR="00B910AD">
        <w:rPr>
          <w:rFonts w:cs="Arial"/>
          <w:b/>
          <w:color w:val="000000"/>
        </w:rPr>
        <w:t>X</w:t>
      </w:r>
      <w:r>
        <w:rPr>
          <w:rFonts w:cs="Arial"/>
          <w:color w:val="000000"/>
        </w:rPr>
        <w:t xml:space="preserve">% </w:t>
      </w:r>
      <w:r w:rsidR="000F37D9">
        <w:rPr>
          <w:rFonts w:cs="Arial"/>
          <w:color w:val="000000"/>
        </w:rPr>
        <w:t>categorie</w:t>
      </w:r>
      <w:r>
        <w:rPr>
          <w:rFonts w:cs="Arial"/>
          <w:color w:val="000000"/>
        </w:rPr>
        <w:t xml:space="preserve"> </w:t>
      </w:r>
    </w:p>
    <w:p w14:paraId="25D8D035" w14:textId="19B47AC4" w:rsidR="00D14769" w:rsidRDefault="00D14769" w:rsidP="00D14769">
      <w:pPr>
        <w:pStyle w:val="Lijstalinea"/>
        <w:spacing w:line="240" w:lineRule="exact"/>
        <w:ind w:left="360"/>
        <w:rPr>
          <w:rFonts w:cs="Arial"/>
          <w:color w:val="000000"/>
        </w:rPr>
      </w:pPr>
      <w:r>
        <w:rPr>
          <w:rFonts w:cs="Arial"/>
          <w:color w:val="000000"/>
        </w:rPr>
        <w:t xml:space="preserve">Er is gekozen voor de </w:t>
      </w:r>
      <w:r w:rsidR="00B910AD">
        <w:rPr>
          <w:rFonts w:cs="Arial"/>
          <w:color w:val="000000"/>
        </w:rPr>
        <w:t>X</w:t>
      </w:r>
      <w:r>
        <w:rPr>
          <w:rFonts w:cs="Arial"/>
          <w:color w:val="000000"/>
        </w:rPr>
        <w:t xml:space="preserve">% categorie omdat er dan mogelijkheden ontstaan om in bedrijven te investeren die naast de productie van milieugevaarlijke stoffen ook grondstoffen produceren voor farmaceutische </w:t>
      </w:r>
      <w:r w:rsidR="00FE1663">
        <w:rPr>
          <w:rFonts w:cs="Arial"/>
          <w:color w:val="000000"/>
        </w:rPr>
        <w:t>industrie. Dit ligt in het verlengde van de doelstelling!</w:t>
      </w:r>
    </w:p>
    <w:p w14:paraId="09B84CA3" w14:textId="77777777" w:rsidR="00FE1663" w:rsidRPr="00D14769" w:rsidRDefault="00FE1663" w:rsidP="00D14769">
      <w:pPr>
        <w:pStyle w:val="Lijstalinea"/>
        <w:spacing w:line="240" w:lineRule="exact"/>
        <w:ind w:left="360"/>
        <w:rPr>
          <w:rFonts w:cs="Arial"/>
          <w:color w:val="000000"/>
        </w:rPr>
      </w:pPr>
    </w:p>
    <w:p w14:paraId="7E60B259" w14:textId="77777777" w:rsidR="00BA18C3" w:rsidRPr="00FE1663" w:rsidRDefault="00B42E1E" w:rsidP="00062379">
      <w:pPr>
        <w:pStyle w:val="Lijstalinea"/>
        <w:numPr>
          <w:ilvl w:val="0"/>
          <w:numId w:val="33"/>
        </w:numPr>
        <w:spacing w:line="240" w:lineRule="exact"/>
        <w:rPr>
          <w:rFonts w:cs="Arial"/>
          <w:b/>
          <w:color w:val="000000"/>
        </w:rPr>
      </w:pPr>
      <w:r>
        <w:rPr>
          <w:rFonts w:cs="Arial"/>
          <w:b/>
          <w:color w:val="000000"/>
        </w:rPr>
        <w:t>Productie van tabak, sigaretten en sigaren</w:t>
      </w:r>
      <w:r>
        <w:rPr>
          <w:rFonts w:cs="Arial"/>
          <w:b/>
          <w:color w:val="000000"/>
        </w:rPr>
        <w:tab/>
      </w:r>
      <w:r w:rsidR="00AD51E7">
        <w:rPr>
          <w:rFonts w:cs="Arial"/>
          <w:b/>
          <w:color w:val="000000"/>
        </w:rPr>
        <w:tab/>
      </w:r>
      <w:r>
        <w:rPr>
          <w:rFonts w:cs="Arial"/>
          <w:b/>
          <w:color w:val="000000"/>
        </w:rPr>
        <w:t xml:space="preserve">: </w:t>
      </w:r>
      <w:r>
        <w:rPr>
          <w:rFonts w:cs="Arial"/>
          <w:color w:val="000000"/>
        </w:rPr>
        <w:t>Volledige uitsluiting</w:t>
      </w:r>
    </w:p>
    <w:p w14:paraId="5EA6F5D1" w14:textId="624F83DD" w:rsidR="00FE1663" w:rsidRPr="00FE1663" w:rsidRDefault="00FE1663" w:rsidP="00FE1663">
      <w:pPr>
        <w:pStyle w:val="Lijstalinea"/>
        <w:spacing w:line="240" w:lineRule="exact"/>
        <w:ind w:left="360"/>
        <w:rPr>
          <w:rFonts w:cs="Arial"/>
          <w:color w:val="000000"/>
        </w:rPr>
      </w:pPr>
      <w:r>
        <w:rPr>
          <w:rFonts w:cs="Arial"/>
          <w:color w:val="000000"/>
        </w:rPr>
        <w:t xml:space="preserve">Volledige uitsluiting van deze categorie betreft niet de Retail sector, tenzij het </w:t>
      </w:r>
      <w:r w:rsidR="00B910AD">
        <w:rPr>
          <w:rFonts w:cs="Arial"/>
          <w:color w:val="000000"/>
        </w:rPr>
        <w:t>X</w:t>
      </w:r>
      <w:r>
        <w:rPr>
          <w:rFonts w:cs="Arial"/>
          <w:color w:val="000000"/>
        </w:rPr>
        <w:t>% criterium wordt overschreden.</w:t>
      </w:r>
    </w:p>
    <w:p w14:paraId="46314BEF" w14:textId="77777777" w:rsidR="00FE1663" w:rsidRPr="00B42E1E" w:rsidRDefault="00FE1663" w:rsidP="00FE1663">
      <w:pPr>
        <w:pStyle w:val="Lijstalinea"/>
        <w:spacing w:line="240" w:lineRule="exact"/>
        <w:ind w:left="360"/>
        <w:rPr>
          <w:rFonts w:cs="Arial"/>
          <w:b/>
          <w:color w:val="000000"/>
        </w:rPr>
      </w:pPr>
    </w:p>
    <w:p w14:paraId="6C3AF713" w14:textId="707CDBFD" w:rsidR="00B42E1E" w:rsidRPr="00FE1663" w:rsidRDefault="00B42E1E" w:rsidP="00062379">
      <w:pPr>
        <w:pStyle w:val="Lijstalinea"/>
        <w:numPr>
          <w:ilvl w:val="0"/>
          <w:numId w:val="33"/>
        </w:numPr>
        <w:spacing w:line="240" w:lineRule="exact"/>
        <w:rPr>
          <w:rFonts w:cs="Arial"/>
          <w:b/>
          <w:color w:val="000000"/>
        </w:rPr>
      </w:pPr>
      <w:r>
        <w:rPr>
          <w:rFonts w:cs="Arial"/>
          <w:b/>
          <w:color w:val="000000"/>
        </w:rPr>
        <w:t>Productie van Alcoholhoudende dranken</w:t>
      </w:r>
      <w:r>
        <w:rPr>
          <w:rFonts w:cs="Arial"/>
          <w:b/>
          <w:color w:val="000000"/>
        </w:rPr>
        <w:tab/>
      </w:r>
      <w:r w:rsidR="00AD51E7">
        <w:rPr>
          <w:rFonts w:cs="Arial"/>
          <w:b/>
          <w:color w:val="000000"/>
        </w:rPr>
        <w:tab/>
      </w:r>
      <w:r>
        <w:rPr>
          <w:rFonts w:cs="Arial"/>
          <w:b/>
          <w:color w:val="000000"/>
        </w:rPr>
        <w:t xml:space="preserve">: </w:t>
      </w:r>
      <w:r w:rsidR="00B910AD">
        <w:rPr>
          <w:rFonts w:cs="Arial"/>
          <w:b/>
          <w:color w:val="000000"/>
        </w:rPr>
        <w:t>X</w:t>
      </w:r>
      <w:r>
        <w:rPr>
          <w:rFonts w:cs="Arial"/>
          <w:color w:val="000000"/>
        </w:rPr>
        <w:t>% categorie</w:t>
      </w:r>
    </w:p>
    <w:p w14:paraId="2D257948" w14:textId="1559DD44" w:rsidR="00FE1663" w:rsidRPr="00FE1663" w:rsidRDefault="00FE1663" w:rsidP="00FE1663">
      <w:pPr>
        <w:pStyle w:val="Lijstalinea"/>
        <w:spacing w:line="240" w:lineRule="exact"/>
        <w:ind w:left="360"/>
        <w:rPr>
          <w:rFonts w:cs="Arial"/>
          <w:color w:val="000000"/>
        </w:rPr>
      </w:pPr>
      <w:r w:rsidRPr="00FE1663">
        <w:rPr>
          <w:rFonts w:cs="Arial"/>
          <w:color w:val="000000"/>
        </w:rPr>
        <w:t xml:space="preserve">De keuze </w:t>
      </w:r>
      <w:r>
        <w:rPr>
          <w:rFonts w:cs="Arial"/>
          <w:color w:val="000000"/>
        </w:rPr>
        <w:t xml:space="preserve">om de </w:t>
      </w:r>
      <w:r w:rsidR="00B910AD">
        <w:rPr>
          <w:rFonts w:cs="Arial"/>
          <w:color w:val="000000"/>
        </w:rPr>
        <w:t>X</w:t>
      </w:r>
      <w:r>
        <w:rPr>
          <w:rFonts w:cs="Arial"/>
          <w:color w:val="000000"/>
        </w:rPr>
        <w:t xml:space="preserve">% categorie toe te passen heeft tot gevolg dat de producenten van alcoholhoudende dranken worden uitgesloten maar er wel ruimte ontstaat om toeleveranciers van deze industrie toe te staan die minder dan </w:t>
      </w:r>
      <w:r w:rsidR="00B910AD">
        <w:rPr>
          <w:rFonts w:cs="Arial"/>
          <w:color w:val="000000"/>
        </w:rPr>
        <w:t>X</w:t>
      </w:r>
      <w:r>
        <w:rPr>
          <w:rFonts w:cs="Arial"/>
          <w:color w:val="000000"/>
        </w:rPr>
        <w:t xml:space="preserve">% omzet genereren uit deze </w:t>
      </w:r>
      <w:r w:rsidR="007207D5">
        <w:rPr>
          <w:rFonts w:cs="Arial"/>
          <w:color w:val="000000"/>
        </w:rPr>
        <w:t xml:space="preserve">toeleveranties. </w:t>
      </w:r>
    </w:p>
    <w:p w14:paraId="11AA8FDB" w14:textId="77777777" w:rsidR="00FE1663" w:rsidRPr="004204DA" w:rsidRDefault="00FE1663" w:rsidP="00FE1663">
      <w:pPr>
        <w:pStyle w:val="Lijstalinea"/>
        <w:spacing w:line="240" w:lineRule="exact"/>
        <w:ind w:left="360"/>
        <w:rPr>
          <w:rFonts w:cs="Arial"/>
          <w:b/>
          <w:color w:val="000000"/>
        </w:rPr>
      </w:pPr>
    </w:p>
    <w:p w14:paraId="575D9016" w14:textId="560B39DB" w:rsidR="004204DA" w:rsidRPr="007207D5" w:rsidRDefault="004204DA" w:rsidP="00062379">
      <w:pPr>
        <w:pStyle w:val="Lijstalinea"/>
        <w:numPr>
          <w:ilvl w:val="0"/>
          <w:numId w:val="33"/>
        </w:numPr>
        <w:spacing w:line="240" w:lineRule="exact"/>
        <w:rPr>
          <w:rFonts w:cs="Arial"/>
          <w:b/>
          <w:color w:val="000000"/>
        </w:rPr>
      </w:pPr>
      <w:r>
        <w:rPr>
          <w:rFonts w:cs="Arial"/>
          <w:b/>
          <w:color w:val="000000"/>
        </w:rPr>
        <w:t>Productie van bont</w:t>
      </w:r>
      <w:r>
        <w:rPr>
          <w:rFonts w:cs="Arial"/>
          <w:b/>
          <w:color w:val="000000"/>
        </w:rPr>
        <w:tab/>
      </w:r>
      <w:r>
        <w:rPr>
          <w:rFonts w:cs="Arial"/>
          <w:b/>
          <w:color w:val="000000"/>
        </w:rPr>
        <w:tab/>
      </w:r>
      <w:r>
        <w:rPr>
          <w:rFonts w:cs="Arial"/>
          <w:b/>
          <w:color w:val="000000"/>
        </w:rPr>
        <w:tab/>
      </w:r>
      <w:r>
        <w:rPr>
          <w:rFonts w:cs="Arial"/>
          <w:b/>
          <w:color w:val="000000"/>
        </w:rPr>
        <w:tab/>
      </w:r>
      <w:r w:rsidR="00AD51E7">
        <w:rPr>
          <w:rFonts w:cs="Arial"/>
          <w:b/>
          <w:color w:val="000000"/>
        </w:rPr>
        <w:tab/>
      </w:r>
      <w:r>
        <w:rPr>
          <w:rFonts w:cs="Arial"/>
          <w:b/>
          <w:color w:val="000000"/>
        </w:rPr>
        <w:t xml:space="preserve">: </w:t>
      </w:r>
      <w:r w:rsidR="00B910AD">
        <w:rPr>
          <w:rFonts w:cs="Arial"/>
          <w:b/>
          <w:color w:val="000000"/>
        </w:rPr>
        <w:t>X</w:t>
      </w:r>
      <w:r>
        <w:rPr>
          <w:rFonts w:cs="Arial"/>
          <w:color w:val="000000"/>
        </w:rPr>
        <w:t>% categorie</w:t>
      </w:r>
    </w:p>
    <w:p w14:paraId="3B6D796E" w14:textId="085E652C" w:rsidR="007207D5" w:rsidRPr="00FE1663" w:rsidRDefault="007207D5" w:rsidP="007207D5">
      <w:pPr>
        <w:pStyle w:val="Lijstalinea"/>
        <w:spacing w:line="240" w:lineRule="exact"/>
        <w:ind w:left="360"/>
        <w:rPr>
          <w:rFonts w:cs="Arial"/>
          <w:color w:val="000000"/>
        </w:rPr>
      </w:pPr>
      <w:r w:rsidRPr="00FE1663">
        <w:rPr>
          <w:rFonts w:cs="Arial"/>
          <w:color w:val="000000"/>
        </w:rPr>
        <w:t xml:space="preserve">De keuze </w:t>
      </w:r>
      <w:r>
        <w:rPr>
          <w:rFonts w:cs="Arial"/>
          <w:color w:val="000000"/>
        </w:rPr>
        <w:t xml:space="preserve">om de </w:t>
      </w:r>
      <w:r w:rsidR="00B910AD">
        <w:rPr>
          <w:rFonts w:cs="Arial"/>
          <w:color w:val="000000"/>
        </w:rPr>
        <w:t>X</w:t>
      </w:r>
      <w:r>
        <w:rPr>
          <w:rFonts w:cs="Arial"/>
          <w:color w:val="000000"/>
        </w:rPr>
        <w:t xml:space="preserve">% categorie toe te passen heeft tot gevolg dat de producenten van bont worden uitgesloten maar er wel ruimte ontstaat om toeleveranciers van deze industrie toe te staan die minder dan </w:t>
      </w:r>
      <w:r w:rsidR="00B910AD">
        <w:rPr>
          <w:rFonts w:cs="Arial"/>
          <w:color w:val="000000"/>
        </w:rPr>
        <w:t>X</w:t>
      </w:r>
      <w:r>
        <w:rPr>
          <w:rFonts w:cs="Arial"/>
          <w:color w:val="000000"/>
        </w:rPr>
        <w:t xml:space="preserve">% omzet genereren uit deze toeleveranties. </w:t>
      </w:r>
    </w:p>
    <w:p w14:paraId="71D837D7" w14:textId="77777777" w:rsidR="007207D5" w:rsidRPr="007207D5" w:rsidRDefault="007207D5" w:rsidP="007207D5">
      <w:pPr>
        <w:pStyle w:val="Lijstalinea"/>
        <w:spacing w:line="240" w:lineRule="exact"/>
        <w:ind w:left="360"/>
        <w:rPr>
          <w:rFonts w:cs="Arial"/>
          <w:b/>
          <w:color w:val="000000"/>
        </w:rPr>
      </w:pPr>
    </w:p>
    <w:p w14:paraId="0EE32CDE" w14:textId="6D415D68" w:rsidR="004204DA" w:rsidRPr="007207D5" w:rsidRDefault="004204DA" w:rsidP="00062379">
      <w:pPr>
        <w:pStyle w:val="Lijstalinea"/>
        <w:numPr>
          <w:ilvl w:val="0"/>
          <w:numId w:val="33"/>
        </w:numPr>
        <w:spacing w:line="240" w:lineRule="exact"/>
        <w:rPr>
          <w:rFonts w:cs="Arial"/>
          <w:b/>
          <w:color w:val="000000"/>
        </w:rPr>
      </w:pPr>
      <w:r>
        <w:rPr>
          <w:rFonts w:cs="Arial"/>
          <w:b/>
          <w:color w:val="000000"/>
        </w:rPr>
        <w:t>Aanzetten tot gokverslaving</w:t>
      </w:r>
      <w:r>
        <w:rPr>
          <w:rFonts w:cs="Arial"/>
          <w:b/>
          <w:color w:val="000000"/>
        </w:rPr>
        <w:tab/>
      </w:r>
      <w:r>
        <w:rPr>
          <w:rFonts w:cs="Arial"/>
          <w:b/>
          <w:color w:val="000000"/>
        </w:rPr>
        <w:tab/>
      </w:r>
      <w:r>
        <w:rPr>
          <w:rFonts w:cs="Arial"/>
          <w:b/>
          <w:color w:val="000000"/>
        </w:rPr>
        <w:tab/>
      </w:r>
      <w:r w:rsidR="00AD51E7">
        <w:rPr>
          <w:rFonts w:cs="Arial"/>
          <w:b/>
          <w:color w:val="000000"/>
        </w:rPr>
        <w:tab/>
      </w:r>
      <w:r>
        <w:rPr>
          <w:rFonts w:cs="Arial"/>
          <w:b/>
          <w:color w:val="000000"/>
        </w:rPr>
        <w:t>:</w:t>
      </w:r>
      <w:r w:rsidRPr="004204DA">
        <w:rPr>
          <w:rFonts w:cs="Arial"/>
          <w:color w:val="000000"/>
        </w:rPr>
        <w:t xml:space="preserve"> </w:t>
      </w:r>
      <w:r w:rsidR="00B910AD">
        <w:rPr>
          <w:rFonts w:cs="Arial"/>
          <w:color w:val="000000"/>
        </w:rPr>
        <w:t>X</w:t>
      </w:r>
      <w:r w:rsidRPr="004204DA">
        <w:rPr>
          <w:rFonts w:cs="Arial"/>
          <w:color w:val="000000"/>
        </w:rPr>
        <w:t>% categorie</w:t>
      </w:r>
    </w:p>
    <w:p w14:paraId="3C3CFA92" w14:textId="496B9DF4" w:rsidR="007207D5" w:rsidRPr="007207D5" w:rsidRDefault="007207D5" w:rsidP="007207D5">
      <w:pPr>
        <w:pStyle w:val="Lijstalinea"/>
        <w:spacing w:line="240" w:lineRule="exact"/>
        <w:ind w:left="360"/>
        <w:rPr>
          <w:rFonts w:cs="Arial"/>
          <w:b/>
          <w:color w:val="000000"/>
        </w:rPr>
      </w:pPr>
      <w:r>
        <w:rPr>
          <w:rFonts w:cs="Arial"/>
          <w:color w:val="000000"/>
        </w:rPr>
        <w:t xml:space="preserve">De keuze van de </w:t>
      </w:r>
      <w:r w:rsidR="00B910AD">
        <w:rPr>
          <w:rFonts w:cs="Arial"/>
          <w:color w:val="000000"/>
        </w:rPr>
        <w:t>X</w:t>
      </w:r>
      <w:r>
        <w:rPr>
          <w:rFonts w:cs="Arial"/>
          <w:color w:val="000000"/>
        </w:rPr>
        <w:t>% categorie maakt het mogelijk om toeleveranciers die onderdelen van gokmachines leveren toe te staan. Dit zijn vaak ICT leveranciers die software mak</w:t>
      </w:r>
      <w:r w:rsidR="00947A77">
        <w:rPr>
          <w:rFonts w:cs="Arial"/>
          <w:color w:val="000000"/>
        </w:rPr>
        <w:t>en</w:t>
      </w:r>
      <w:r>
        <w:rPr>
          <w:rFonts w:cs="Arial"/>
          <w:color w:val="000000"/>
        </w:rPr>
        <w:t xml:space="preserve"> voor deze industrie. Indien dit de omzet van </w:t>
      </w:r>
      <w:r w:rsidR="00B910AD">
        <w:rPr>
          <w:rFonts w:cs="Arial"/>
          <w:color w:val="000000"/>
        </w:rPr>
        <w:t>X</w:t>
      </w:r>
      <w:r>
        <w:rPr>
          <w:rFonts w:cs="Arial"/>
          <w:color w:val="000000"/>
        </w:rPr>
        <w:t xml:space="preserve">% overstijgt worden deze leverancier uitgesloten. </w:t>
      </w:r>
    </w:p>
    <w:p w14:paraId="0A65762E" w14:textId="77777777" w:rsidR="007207D5" w:rsidRPr="004204DA" w:rsidRDefault="007207D5" w:rsidP="007207D5">
      <w:pPr>
        <w:pStyle w:val="Lijstalinea"/>
        <w:spacing w:line="240" w:lineRule="exact"/>
        <w:ind w:left="360"/>
        <w:rPr>
          <w:rFonts w:cs="Arial"/>
          <w:b/>
          <w:color w:val="000000"/>
        </w:rPr>
      </w:pPr>
    </w:p>
    <w:p w14:paraId="71736C98" w14:textId="77777777" w:rsidR="004204DA" w:rsidRPr="00E344C8" w:rsidRDefault="004204DA" w:rsidP="00062379">
      <w:pPr>
        <w:pStyle w:val="Lijstalinea"/>
        <w:numPr>
          <w:ilvl w:val="0"/>
          <w:numId w:val="33"/>
        </w:numPr>
        <w:spacing w:line="240" w:lineRule="exact"/>
        <w:rPr>
          <w:rFonts w:cs="Arial"/>
          <w:b/>
          <w:color w:val="000000"/>
        </w:rPr>
      </w:pPr>
      <w:r>
        <w:rPr>
          <w:rFonts w:cs="Arial"/>
          <w:b/>
          <w:color w:val="000000"/>
        </w:rPr>
        <w:t>Genetische modificatietechnieken</w:t>
      </w:r>
      <w:r>
        <w:rPr>
          <w:rFonts w:cs="Arial"/>
          <w:b/>
          <w:color w:val="000000"/>
        </w:rPr>
        <w:tab/>
      </w:r>
      <w:r>
        <w:rPr>
          <w:rFonts w:cs="Arial"/>
          <w:b/>
          <w:color w:val="000000"/>
        </w:rPr>
        <w:tab/>
      </w:r>
      <w:r w:rsidR="00AD51E7">
        <w:rPr>
          <w:rFonts w:cs="Arial"/>
          <w:b/>
          <w:color w:val="000000"/>
        </w:rPr>
        <w:tab/>
      </w:r>
      <w:r>
        <w:rPr>
          <w:rFonts w:cs="Arial"/>
          <w:b/>
          <w:color w:val="000000"/>
        </w:rPr>
        <w:t xml:space="preserve">: </w:t>
      </w:r>
      <w:r>
        <w:rPr>
          <w:rFonts w:cs="Arial"/>
          <w:color w:val="000000"/>
        </w:rPr>
        <w:t>geen uitsluiting</w:t>
      </w:r>
    </w:p>
    <w:p w14:paraId="7419F1A9" w14:textId="2C5AE1B2" w:rsidR="00E344C8" w:rsidRDefault="00E344C8" w:rsidP="00E344C8">
      <w:pPr>
        <w:pStyle w:val="Lijstalinea"/>
        <w:spacing w:line="240" w:lineRule="exact"/>
        <w:ind w:left="360"/>
        <w:rPr>
          <w:rFonts w:cs="Arial"/>
          <w:color w:val="000000"/>
        </w:rPr>
      </w:pPr>
      <w:r>
        <w:rPr>
          <w:rFonts w:cs="Arial"/>
          <w:color w:val="000000"/>
        </w:rPr>
        <w:t xml:space="preserve">Deze technieken zijn niet in strijd met de doelstelling </w:t>
      </w:r>
      <w:r w:rsidRPr="00E344C8">
        <w:rPr>
          <w:rFonts w:cs="Arial"/>
          <w:color w:val="000000"/>
        </w:rPr>
        <w:t>van</w:t>
      </w:r>
      <w:r>
        <w:rPr>
          <w:rFonts w:cs="Arial"/>
          <w:color w:val="000000"/>
        </w:rPr>
        <w:t xml:space="preserve"> de </w:t>
      </w:r>
      <w:r w:rsidR="00ED62D7">
        <w:rPr>
          <w:rFonts w:cs="Arial"/>
          <w:color w:val="000000"/>
        </w:rPr>
        <w:t>&lt;NAAM ORGANISATIE&gt;</w:t>
      </w:r>
      <w:r>
        <w:rPr>
          <w:rFonts w:cs="Arial"/>
          <w:color w:val="000000"/>
        </w:rPr>
        <w:t xml:space="preserve">. Modificatietechnieken worden ook toegepast in medische ontwikkelingen zoals stamcel-therapieën en </w:t>
      </w:r>
      <w:proofErr w:type="spellStart"/>
      <w:r>
        <w:rPr>
          <w:rFonts w:cs="Arial"/>
          <w:color w:val="000000"/>
        </w:rPr>
        <w:t>gen-therapieën</w:t>
      </w:r>
      <w:proofErr w:type="spellEnd"/>
      <w:r>
        <w:rPr>
          <w:rFonts w:cs="Arial"/>
          <w:color w:val="000000"/>
        </w:rPr>
        <w:t>.</w:t>
      </w:r>
    </w:p>
    <w:p w14:paraId="2258D6B5" w14:textId="77777777" w:rsidR="00E344C8" w:rsidRDefault="00E344C8" w:rsidP="00E344C8">
      <w:pPr>
        <w:pStyle w:val="Lijstalinea"/>
        <w:spacing w:line="240" w:lineRule="exact"/>
        <w:ind w:left="360"/>
        <w:rPr>
          <w:rFonts w:cs="Arial"/>
          <w:color w:val="000000"/>
        </w:rPr>
      </w:pPr>
    </w:p>
    <w:p w14:paraId="36721673" w14:textId="6E6613ED" w:rsidR="00947A77" w:rsidRDefault="00947A77" w:rsidP="00E344C8">
      <w:pPr>
        <w:pStyle w:val="Lijstalinea"/>
        <w:spacing w:line="240" w:lineRule="exact"/>
        <w:ind w:left="360"/>
        <w:rPr>
          <w:rFonts w:cs="Arial"/>
          <w:color w:val="000000"/>
        </w:rPr>
      </w:pPr>
    </w:p>
    <w:p w14:paraId="5D1765D4" w14:textId="77777777" w:rsidR="00B10B54" w:rsidRPr="00B10B54" w:rsidRDefault="00B10B54" w:rsidP="00B10B54"/>
    <w:p w14:paraId="4531B066" w14:textId="0C2213C6" w:rsidR="004204DA" w:rsidRPr="00A2105F" w:rsidRDefault="004204DA" w:rsidP="00062379">
      <w:pPr>
        <w:pStyle w:val="Lijstalinea"/>
        <w:numPr>
          <w:ilvl w:val="0"/>
          <w:numId w:val="33"/>
        </w:numPr>
        <w:spacing w:line="240" w:lineRule="exact"/>
        <w:rPr>
          <w:rFonts w:cs="Arial"/>
          <w:b/>
          <w:color w:val="000000"/>
        </w:rPr>
      </w:pPr>
      <w:r>
        <w:rPr>
          <w:rFonts w:cs="Arial"/>
          <w:b/>
          <w:color w:val="000000"/>
        </w:rPr>
        <w:t>Productie van kernenergie</w:t>
      </w:r>
      <w:r>
        <w:rPr>
          <w:rFonts w:cs="Arial"/>
          <w:b/>
          <w:color w:val="000000"/>
        </w:rPr>
        <w:tab/>
      </w:r>
      <w:r>
        <w:rPr>
          <w:rFonts w:cs="Arial"/>
          <w:b/>
          <w:color w:val="000000"/>
        </w:rPr>
        <w:tab/>
      </w:r>
      <w:r>
        <w:rPr>
          <w:rFonts w:cs="Arial"/>
          <w:b/>
          <w:color w:val="000000"/>
        </w:rPr>
        <w:tab/>
      </w:r>
      <w:r w:rsidR="00AD51E7">
        <w:rPr>
          <w:rFonts w:cs="Arial"/>
          <w:b/>
          <w:color w:val="000000"/>
        </w:rPr>
        <w:tab/>
      </w:r>
      <w:r>
        <w:rPr>
          <w:rFonts w:cs="Arial"/>
          <w:b/>
          <w:color w:val="000000"/>
        </w:rPr>
        <w:t>:</w:t>
      </w:r>
      <w:r>
        <w:rPr>
          <w:rFonts w:cs="Arial"/>
          <w:color w:val="000000"/>
        </w:rPr>
        <w:t xml:space="preserve"> </w:t>
      </w:r>
      <w:r w:rsidR="00B910AD">
        <w:rPr>
          <w:rFonts w:cs="Arial"/>
          <w:color w:val="000000"/>
        </w:rPr>
        <w:t>X</w:t>
      </w:r>
      <w:r>
        <w:rPr>
          <w:rFonts w:cs="Arial"/>
          <w:color w:val="000000"/>
        </w:rPr>
        <w:t>% categorie</w:t>
      </w:r>
    </w:p>
    <w:p w14:paraId="1E49204F" w14:textId="211D818A" w:rsidR="00A2105F" w:rsidRDefault="00BA7DD2" w:rsidP="00BA7DD2">
      <w:pPr>
        <w:pStyle w:val="Lijstalinea"/>
        <w:spacing w:line="240" w:lineRule="exact"/>
        <w:ind w:left="360"/>
        <w:rPr>
          <w:rFonts w:cs="Arial"/>
          <w:color w:val="000000"/>
        </w:rPr>
      </w:pPr>
      <w:r w:rsidRPr="00BA7DD2">
        <w:rPr>
          <w:rFonts w:cs="Arial"/>
          <w:color w:val="000000"/>
        </w:rPr>
        <w:t xml:space="preserve">De productie van kernenergie valt in de </w:t>
      </w:r>
      <w:r w:rsidR="00B910AD">
        <w:rPr>
          <w:rFonts w:cs="Arial"/>
          <w:color w:val="000000"/>
        </w:rPr>
        <w:t>X</w:t>
      </w:r>
      <w:r w:rsidRPr="00BA7DD2">
        <w:rPr>
          <w:rFonts w:cs="Arial"/>
          <w:color w:val="000000"/>
        </w:rPr>
        <w:t>% categorie omdat bedrijven zoals Siemens (producent van medische apparatuur) gebruik maakt van kernenergie gerelateerde producten</w:t>
      </w:r>
      <w:r>
        <w:rPr>
          <w:rFonts w:cs="Arial"/>
          <w:color w:val="000000"/>
        </w:rPr>
        <w:t xml:space="preserve"> voor medische toepassingen. </w:t>
      </w:r>
    </w:p>
    <w:p w14:paraId="766935B6" w14:textId="77777777" w:rsidR="00BA7DD2" w:rsidRPr="00BA7DD2" w:rsidRDefault="00BA7DD2" w:rsidP="00BA7DD2">
      <w:pPr>
        <w:pStyle w:val="Lijstalinea"/>
        <w:spacing w:line="240" w:lineRule="exact"/>
        <w:ind w:left="360"/>
        <w:rPr>
          <w:rFonts w:cs="Arial"/>
          <w:color w:val="000000"/>
        </w:rPr>
      </w:pPr>
    </w:p>
    <w:p w14:paraId="3D3E7E1B" w14:textId="53897EFB" w:rsidR="004204DA" w:rsidRPr="00884BB4" w:rsidRDefault="004204DA" w:rsidP="00062379">
      <w:pPr>
        <w:pStyle w:val="Lijstalinea"/>
        <w:numPr>
          <w:ilvl w:val="0"/>
          <w:numId w:val="33"/>
        </w:numPr>
        <w:spacing w:line="240" w:lineRule="exact"/>
        <w:rPr>
          <w:rFonts w:cs="Arial"/>
          <w:b/>
          <w:color w:val="000000"/>
        </w:rPr>
      </w:pPr>
      <w:r>
        <w:rPr>
          <w:rFonts w:cs="Arial"/>
          <w:b/>
          <w:color w:val="000000"/>
        </w:rPr>
        <w:t>Gebruik van proefdieren</w:t>
      </w:r>
      <w:r w:rsidR="00884BB4">
        <w:rPr>
          <w:rFonts w:cs="Arial"/>
          <w:b/>
          <w:color w:val="000000"/>
        </w:rPr>
        <w:t xml:space="preserve"> non-</w:t>
      </w:r>
      <w:r w:rsidR="00D14769">
        <w:rPr>
          <w:rFonts w:cs="Arial"/>
          <w:b/>
          <w:color w:val="000000"/>
        </w:rPr>
        <w:t>f</w:t>
      </w:r>
      <w:r w:rsidR="00884BB4">
        <w:rPr>
          <w:rFonts w:cs="Arial"/>
          <w:b/>
          <w:color w:val="000000"/>
        </w:rPr>
        <w:t>armaceuti</w:t>
      </w:r>
      <w:r w:rsidR="00D14769">
        <w:rPr>
          <w:rFonts w:cs="Arial"/>
          <w:b/>
          <w:color w:val="000000"/>
        </w:rPr>
        <w:t>sche</w:t>
      </w:r>
      <w:r w:rsidR="00947A77">
        <w:rPr>
          <w:rFonts w:cs="Arial"/>
          <w:b/>
          <w:color w:val="000000"/>
        </w:rPr>
        <w:t xml:space="preserve"> industrie</w:t>
      </w:r>
      <w:r w:rsidR="00AD51E7">
        <w:rPr>
          <w:rFonts w:cs="Arial"/>
          <w:b/>
          <w:color w:val="000000"/>
        </w:rPr>
        <w:tab/>
      </w:r>
      <w:r>
        <w:rPr>
          <w:rFonts w:cs="Arial"/>
          <w:b/>
          <w:color w:val="000000"/>
        </w:rPr>
        <w:t xml:space="preserve">: </w:t>
      </w:r>
      <w:r w:rsidR="00884BB4" w:rsidRPr="00884BB4">
        <w:rPr>
          <w:rFonts w:cs="Arial"/>
          <w:color w:val="000000"/>
        </w:rPr>
        <w:t xml:space="preserve">Volledige </w:t>
      </w:r>
      <w:r w:rsidR="00884BB4">
        <w:rPr>
          <w:rFonts w:cs="Arial"/>
          <w:color w:val="000000"/>
        </w:rPr>
        <w:t>uitsluiting</w:t>
      </w:r>
    </w:p>
    <w:p w14:paraId="2178965F" w14:textId="1501211D" w:rsidR="00AD51E7" w:rsidRPr="00AD51E7" w:rsidRDefault="00884BB4" w:rsidP="00884BB4">
      <w:pPr>
        <w:pStyle w:val="Lijstalinea"/>
        <w:numPr>
          <w:ilvl w:val="0"/>
          <w:numId w:val="33"/>
        </w:numPr>
        <w:spacing w:line="240" w:lineRule="exact"/>
        <w:rPr>
          <w:rFonts w:cs="Arial"/>
          <w:b/>
          <w:color w:val="000000"/>
        </w:rPr>
      </w:pPr>
      <w:r>
        <w:rPr>
          <w:rFonts w:cs="Arial"/>
          <w:b/>
          <w:color w:val="000000"/>
        </w:rPr>
        <w:t xml:space="preserve">Gebruik van proefdieren </w:t>
      </w:r>
      <w:r w:rsidR="00D14769">
        <w:rPr>
          <w:rFonts w:cs="Arial"/>
          <w:b/>
          <w:color w:val="000000"/>
        </w:rPr>
        <w:t>f</w:t>
      </w:r>
      <w:r>
        <w:rPr>
          <w:rFonts w:cs="Arial"/>
          <w:b/>
          <w:color w:val="000000"/>
        </w:rPr>
        <w:t>armaceuti</w:t>
      </w:r>
      <w:r w:rsidR="00D14769">
        <w:rPr>
          <w:rFonts w:cs="Arial"/>
          <w:b/>
          <w:color w:val="000000"/>
        </w:rPr>
        <w:t>s</w:t>
      </w:r>
      <w:r>
        <w:rPr>
          <w:rFonts w:cs="Arial"/>
          <w:b/>
          <w:color w:val="000000"/>
        </w:rPr>
        <w:t>c</w:t>
      </w:r>
      <w:r w:rsidR="00D14769">
        <w:rPr>
          <w:rFonts w:cs="Arial"/>
          <w:b/>
          <w:color w:val="000000"/>
        </w:rPr>
        <w:t>he</w:t>
      </w:r>
      <w:r>
        <w:rPr>
          <w:rFonts w:cs="Arial"/>
          <w:b/>
          <w:color w:val="000000"/>
        </w:rPr>
        <w:tab/>
      </w:r>
      <w:r w:rsidR="00947A77">
        <w:rPr>
          <w:rFonts w:cs="Arial"/>
          <w:b/>
          <w:color w:val="000000"/>
        </w:rPr>
        <w:t>industrie</w:t>
      </w:r>
      <w:r w:rsidR="00AD51E7">
        <w:rPr>
          <w:rFonts w:cs="Arial"/>
          <w:b/>
          <w:color w:val="000000"/>
        </w:rPr>
        <w:tab/>
      </w:r>
      <w:r>
        <w:rPr>
          <w:rFonts w:cs="Arial"/>
          <w:b/>
          <w:color w:val="000000"/>
        </w:rPr>
        <w:t xml:space="preserve">: </w:t>
      </w:r>
      <w:r w:rsidRPr="00884BB4">
        <w:rPr>
          <w:rFonts w:cs="Arial"/>
          <w:color w:val="000000"/>
        </w:rPr>
        <w:t xml:space="preserve">Volledige </w:t>
      </w:r>
      <w:r>
        <w:rPr>
          <w:rFonts w:cs="Arial"/>
          <w:color w:val="000000"/>
        </w:rPr>
        <w:t xml:space="preserve">uitsluiting indien er geen </w:t>
      </w:r>
    </w:p>
    <w:p w14:paraId="2A2D75B5" w14:textId="77777777" w:rsidR="00AD51E7" w:rsidRDefault="00AD51E7" w:rsidP="00884BB4">
      <w:pPr>
        <w:pStyle w:val="Lijstalinea"/>
        <w:spacing w:line="240" w:lineRule="exact"/>
        <w:ind w:left="360"/>
        <w:rPr>
          <w:rFonts w:cs="Arial"/>
          <w:color w:val="000000"/>
        </w:rPr>
      </w:pPr>
      <w:r>
        <w:rPr>
          <w:rFonts w:cs="Arial"/>
          <w:b/>
          <w:color w:val="000000"/>
        </w:rPr>
        <w:t xml:space="preserve">                                                                                                  </w:t>
      </w:r>
      <w:r w:rsidR="00884BB4">
        <w:rPr>
          <w:rFonts w:cs="Arial"/>
          <w:color w:val="000000"/>
        </w:rPr>
        <w:t xml:space="preserve">beleid is met betrekking tot </w:t>
      </w:r>
    </w:p>
    <w:p w14:paraId="2D096743" w14:textId="77777777" w:rsidR="00884BB4" w:rsidRDefault="00AD51E7" w:rsidP="00884BB4">
      <w:pPr>
        <w:pStyle w:val="Lijstalinea"/>
        <w:spacing w:line="240" w:lineRule="exact"/>
        <w:ind w:left="360"/>
        <w:rPr>
          <w:rFonts w:cs="Arial"/>
          <w:color w:val="000000"/>
        </w:rPr>
      </w:pPr>
      <w:r>
        <w:rPr>
          <w:rFonts w:cs="Arial"/>
          <w:color w:val="000000"/>
        </w:rPr>
        <w:t xml:space="preserve">                                                                                                  </w:t>
      </w:r>
      <w:proofErr w:type="spellStart"/>
      <w:r w:rsidR="00884BB4">
        <w:rPr>
          <w:rFonts w:cs="Arial"/>
          <w:color w:val="000000"/>
        </w:rPr>
        <w:t>Reduce</w:t>
      </w:r>
      <w:proofErr w:type="spellEnd"/>
      <w:r w:rsidR="00884BB4">
        <w:rPr>
          <w:rFonts w:cs="Arial"/>
          <w:color w:val="000000"/>
        </w:rPr>
        <w:t>,</w:t>
      </w:r>
      <w:r>
        <w:rPr>
          <w:rFonts w:cs="Arial"/>
          <w:color w:val="000000"/>
        </w:rPr>
        <w:t xml:space="preserve"> </w:t>
      </w:r>
      <w:proofErr w:type="spellStart"/>
      <w:r w:rsidR="00884BB4">
        <w:rPr>
          <w:rFonts w:cs="Arial"/>
          <w:color w:val="000000"/>
        </w:rPr>
        <w:t>Refine</w:t>
      </w:r>
      <w:proofErr w:type="spellEnd"/>
      <w:r w:rsidR="00884BB4">
        <w:rPr>
          <w:rFonts w:cs="Arial"/>
          <w:color w:val="000000"/>
        </w:rPr>
        <w:t xml:space="preserve"> or </w:t>
      </w:r>
      <w:proofErr w:type="spellStart"/>
      <w:r w:rsidR="00884BB4">
        <w:rPr>
          <w:rFonts w:cs="Arial"/>
          <w:color w:val="000000"/>
        </w:rPr>
        <w:t>Replace</w:t>
      </w:r>
      <w:proofErr w:type="spellEnd"/>
    </w:p>
    <w:p w14:paraId="5CCB4C41" w14:textId="7BBADBDB" w:rsidR="00BA7DD2" w:rsidRDefault="008934D0" w:rsidP="00884BB4">
      <w:pPr>
        <w:pStyle w:val="Lijstalinea"/>
        <w:spacing w:line="240" w:lineRule="exact"/>
        <w:ind w:left="360"/>
        <w:rPr>
          <w:rFonts w:cs="Arial"/>
          <w:color w:val="000000"/>
        </w:rPr>
      </w:pPr>
      <w:r>
        <w:rPr>
          <w:rFonts w:cs="Arial"/>
          <w:color w:val="000000"/>
        </w:rPr>
        <w:t xml:space="preserve">Op basis van bestaande wet- </w:t>
      </w:r>
      <w:r w:rsidR="00947A77">
        <w:rPr>
          <w:rFonts w:cs="Arial"/>
          <w:color w:val="000000"/>
        </w:rPr>
        <w:t>en regelgeving zijn p</w:t>
      </w:r>
      <w:r w:rsidR="00BA7DD2" w:rsidRPr="001B5D8F">
        <w:rPr>
          <w:rFonts w:cs="Arial"/>
          <w:color w:val="000000"/>
        </w:rPr>
        <w:t xml:space="preserve">roefdieren in de farmaceutische </w:t>
      </w:r>
      <w:r w:rsidR="00947A77">
        <w:rPr>
          <w:rFonts w:cs="Arial"/>
          <w:color w:val="000000"/>
        </w:rPr>
        <w:t xml:space="preserve">en </w:t>
      </w:r>
      <w:proofErr w:type="spellStart"/>
      <w:r>
        <w:rPr>
          <w:rFonts w:cs="Arial"/>
          <w:color w:val="000000"/>
        </w:rPr>
        <w:t>biotech</w:t>
      </w:r>
      <w:proofErr w:type="spellEnd"/>
      <w:r>
        <w:rPr>
          <w:rFonts w:cs="Arial"/>
          <w:color w:val="000000"/>
        </w:rPr>
        <w:t xml:space="preserve"> </w:t>
      </w:r>
      <w:r w:rsidR="00BA7DD2" w:rsidRPr="001B5D8F">
        <w:rPr>
          <w:rFonts w:cs="Arial"/>
          <w:color w:val="000000"/>
        </w:rPr>
        <w:t xml:space="preserve">industrie vaak noodzakelijk om nieuwe medicijnen </w:t>
      </w:r>
      <w:r w:rsidR="00947A77">
        <w:rPr>
          <w:rFonts w:cs="Arial"/>
          <w:color w:val="000000"/>
        </w:rPr>
        <w:t xml:space="preserve">en behandelingen </w:t>
      </w:r>
      <w:r w:rsidR="00BA7DD2" w:rsidRPr="001B5D8F">
        <w:rPr>
          <w:rFonts w:cs="Arial"/>
          <w:color w:val="000000"/>
        </w:rPr>
        <w:t xml:space="preserve">te testen. Indien fabrikanten geen beleid hebben </w:t>
      </w:r>
      <w:r w:rsidR="001B5D8F" w:rsidRPr="001B5D8F">
        <w:rPr>
          <w:rFonts w:cs="Arial"/>
          <w:color w:val="000000"/>
        </w:rPr>
        <w:t>om proefdiergebruik te verminderen/</w:t>
      </w:r>
      <w:r>
        <w:rPr>
          <w:rFonts w:cs="Arial"/>
          <w:color w:val="000000"/>
        </w:rPr>
        <w:t>verfijnen/</w:t>
      </w:r>
      <w:r w:rsidR="001B5D8F" w:rsidRPr="001B5D8F">
        <w:rPr>
          <w:rFonts w:cs="Arial"/>
          <w:color w:val="000000"/>
        </w:rPr>
        <w:t>vervangen zullen deze fabrikanten worden uitgesloten.</w:t>
      </w:r>
    </w:p>
    <w:p w14:paraId="7E394E6C" w14:textId="77777777" w:rsidR="001B5D8F" w:rsidRPr="001B5D8F" w:rsidRDefault="001B5D8F" w:rsidP="00884BB4">
      <w:pPr>
        <w:pStyle w:val="Lijstalinea"/>
        <w:spacing w:line="240" w:lineRule="exact"/>
        <w:ind w:left="360"/>
        <w:rPr>
          <w:rFonts w:cs="Arial"/>
          <w:color w:val="000000"/>
        </w:rPr>
      </w:pPr>
    </w:p>
    <w:p w14:paraId="77828C41" w14:textId="77777777" w:rsidR="00AD51E7" w:rsidRPr="00AD51E7" w:rsidRDefault="00884BB4" w:rsidP="00062379">
      <w:pPr>
        <w:pStyle w:val="Lijstalinea"/>
        <w:numPr>
          <w:ilvl w:val="0"/>
          <w:numId w:val="33"/>
        </w:numPr>
        <w:spacing w:line="240" w:lineRule="exact"/>
        <w:rPr>
          <w:rFonts w:cs="Arial"/>
          <w:b/>
          <w:color w:val="000000"/>
        </w:rPr>
      </w:pPr>
      <w:r>
        <w:rPr>
          <w:rFonts w:cs="Arial"/>
          <w:b/>
          <w:color w:val="000000"/>
        </w:rPr>
        <w:t>Productie en verkoop van handvuurwapens</w:t>
      </w:r>
      <w:r>
        <w:rPr>
          <w:rFonts w:cs="Arial"/>
          <w:b/>
          <w:color w:val="000000"/>
        </w:rPr>
        <w:tab/>
      </w:r>
      <w:r w:rsidR="00AD51E7">
        <w:rPr>
          <w:rFonts w:cs="Arial"/>
          <w:b/>
          <w:color w:val="000000"/>
        </w:rPr>
        <w:tab/>
      </w:r>
      <w:r>
        <w:rPr>
          <w:rFonts w:cs="Arial"/>
          <w:b/>
          <w:color w:val="000000"/>
        </w:rPr>
        <w:t xml:space="preserve">: </w:t>
      </w:r>
      <w:r>
        <w:rPr>
          <w:rFonts w:cs="Arial"/>
          <w:color w:val="000000"/>
        </w:rPr>
        <w:t xml:space="preserve">Volledige uitsluiting bij verkoop aan </w:t>
      </w:r>
    </w:p>
    <w:p w14:paraId="664B7FBD" w14:textId="4A9155D2" w:rsidR="00884BB4" w:rsidRDefault="00AD51E7" w:rsidP="00AD51E7">
      <w:pPr>
        <w:pStyle w:val="Lijstalinea"/>
        <w:spacing w:line="240" w:lineRule="exact"/>
        <w:ind w:left="360"/>
        <w:rPr>
          <w:rFonts w:cs="Arial"/>
          <w:color w:val="000000"/>
        </w:rPr>
      </w:pPr>
      <w:r>
        <w:rPr>
          <w:rFonts w:cs="Arial"/>
          <w:b/>
          <w:color w:val="000000"/>
        </w:rPr>
        <w:t xml:space="preserve">                                                                                                  </w:t>
      </w:r>
      <w:r w:rsidR="008934D0">
        <w:rPr>
          <w:rFonts w:cs="Arial"/>
          <w:color w:val="000000"/>
        </w:rPr>
        <w:t>p</w:t>
      </w:r>
      <w:r w:rsidR="00884BB4">
        <w:rPr>
          <w:rFonts w:cs="Arial"/>
          <w:color w:val="000000"/>
        </w:rPr>
        <w:t>articulieren</w:t>
      </w:r>
    </w:p>
    <w:p w14:paraId="797065AD" w14:textId="77777777" w:rsidR="001B5D8F" w:rsidRPr="001B5D8F" w:rsidRDefault="001B5D8F" w:rsidP="00AD51E7">
      <w:pPr>
        <w:pStyle w:val="Lijstalinea"/>
        <w:spacing w:line="240" w:lineRule="exact"/>
        <w:ind w:left="360"/>
        <w:rPr>
          <w:rFonts w:cs="Arial"/>
          <w:color w:val="000000"/>
        </w:rPr>
      </w:pPr>
      <w:r w:rsidRPr="001B5D8F">
        <w:rPr>
          <w:rFonts w:cs="Arial"/>
          <w:color w:val="000000"/>
        </w:rPr>
        <w:t xml:space="preserve">Handvuurwapens voor leger en politiemachten zijn toegestaan. Iedereen wil leven in een veilige en stabiele omgeving. Levering aan particulieren draagt daar niet aan bij. </w:t>
      </w:r>
    </w:p>
    <w:p w14:paraId="67F98CE4" w14:textId="77777777" w:rsidR="001B5D8F" w:rsidRPr="00884BB4" w:rsidRDefault="001B5D8F" w:rsidP="00AD51E7">
      <w:pPr>
        <w:pStyle w:val="Lijstalinea"/>
        <w:spacing w:line="240" w:lineRule="exact"/>
        <w:ind w:left="360"/>
        <w:rPr>
          <w:rFonts w:cs="Arial"/>
          <w:b/>
          <w:color w:val="000000"/>
        </w:rPr>
      </w:pPr>
    </w:p>
    <w:p w14:paraId="6B9EE828" w14:textId="77777777" w:rsidR="00BA18C3" w:rsidRPr="001B5D8F" w:rsidRDefault="00F130BC" w:rsidP="00AD51E7">
      <w:pPr>
        <w:pStyle w:val="Lijstalinea"/>
        <w:numPr>
          <w:ilvl w:val="0"/>
          <w:numId w:val="33"/>
        </w:numPr>
        <w:spacing w:line="240" w:lineRule="exact"/>
        <w:rPr>
          <w:rFonts w:cs="Arial"/>
          <w:b/>
          <w:color w:val="000000"/>
        </w:rPr>
      </w:pPr>
      <w:r>
        <w:rPr>
          <w:rFonts w:cs="Arial"/>
          <w:b/>
          <w:color w:val="000000"/>
        </w:rPr>
        <w:t>Wapen gerelateerde</w:t>
      </w:r>
      <w:r w:rsidR="00884BB4">
        <w:rPr>
          <w:rFonts w:cs="Arial"/>
          <w:b/>
          <w:color w:val="000000"/>
        </w:rPr>
        <w:t xml:space="preserve"> producten</w:t>
      </w:r>
      <w:r w:rsidR="00AD51E7">
        <w:rPr>
          <w:rFonts w:cs="Arial"/>
          <w:b/>
          <w:color w:val="000000"/>
        </w:rPr>
        <w:t>/</w:t>
      </w:r>
      <w:r w:rsidR="00884BB4">
        <w:rPr>
          <w:rFonts w:cs="Arial"/>
          <w:b/>
          <w:color w:val="000000"/>
        </w:rPr>
        <w:t>diensten aan defensie</w:t>
      </w:r>
      <w:r w:rsidR="00AD51E7">
        <w:rPr>
          <w:rFonts w:cs="Arial"/>
          <w:b/>
          <w:color w:val="000000"/>
        </w:rPr>
        <w:tab/>
        <w:t xml:space="preserve">: </w:t>
      </w:r>
      <w:r w:rsidR="00AD51E7" w:rsidRPr="00AD51E7">
        <w:rPr>
          <w:rFonts w:cs="Arial"/>
          <w:color w:val="000000"/>
        </w:rPr>
        <w:t>Geen uitsluiting</w:t>
      </w:r>
    </w:p>
    <w:p w14:paraId="4A3D44DC" w14:textId="1EE3540A" w:rsidR="001B5D8F" w:rsidRPr="001B5D8F" w:rsidRDefault="001B5D8F" w:rsidP="001B5D8F">
      <w:pPr>
        <w:pStyle w:val="Lijstalinea"/>
        <w:spacing w:line="240" w:lineRule="exact"/>
        <w:ind w:left="360"/>
        <w:rPr>
          <w:rFonts w:cs="Arial"/>
          <w:color w:val="000000"/>
        </w:rPr>
      </w:pPr>
      <w:r w:rsidRPr="001B5D8F">
        <w:rPr>
          <w:rFonts w:cs="Arial"/>
          <w:color w:val="000000"/>
        </w:rPr>
        <w:t xml:space="preserve">Iedereen in de wereld heeft baat bij een goed georganiseerde defensie ter verdediging van het land, de normen en de waarden. De </w:t>
      </w:r>
      <w:r w:rsidR="00ED62D7">
        <w:rPr>
          <w:rFonts w:cs="Arial"/>
          <w:color w:val="000000"/>
        </w:rPr>
        <w:t>&lt;NAAM ORGANISATIE&gt;</w:t>
      </w:r>
      <w:r w:rsidRPr="001B5D8F">
        <w:rPr>
          <w:rFonts w:cs="Arial"/>
          <w:color w:val="000000"/>
        </w:rPr>
        <w:t xml:space="preserve"> zal daar niet actief voor kiezen maar sluit de categorie niet uit.</w:t>
      </w:r>
    </w:p>
    <w:p w14:paraId="2B878F5A" w14:textId="77777777" w:rsidR="001B5D8F" w:rsidRPr="008A6523" w:rsidRDefault="001B5D8F" w:rsidP="001B5D8F">
      <w:pPr>
        <w:pStyle w:val="Lijstalinea"/>
        <w:spacing w:line="240" w:lineRule="exact"/>
        <w:ind w:left="360"/>
        <w:rPr>
          <w:rFonts w:cs="Arial"/>
          <w:b/>
          <w:color w:val="000000"/>
        </w:rPr>
      </w:pPr>
    </w:p>
    <w:p w14:paraId="0A934AF6" w14:textId="77777777" w:rsidR="008A6523" w:rsidRPr="00F8419A" w:rsidRDefault="00F130BC" w:rsidP="00AD51E7">
      <w:pPr>
        <w:pStyle w:val="Lijstalinea"/>
        <w:numPr>
          <w:ilvl w:val="0"/>
          <w:numId w:val="33"/>
        </w:numPr>
        <w:spacing w:line="240" w:lineRule="exact"/>
        <w:rPr>
          <w:rFonts w:cs="Arial"/>
          <w:b/>
          <w:color w:val="000000"/>
        </w:rPr>
      </w:pPr>
      <w:r>
        <w:rPr>
          <w:rFonts w:cs="Arial"/>
          <w:b/>
          <w:color w:val="000000"/>
        </w:rPr>
        <w:t>Productie van energie met steen-/bruinkool</w:t>
      </w:r>
      <w:r>
        <w:rPr>
          <w:rFonts w:cs="Arial"/>
          <w:b/>
          <w:color w:val="000000"/>
        </w:rPr>
        <w:tab/>
      </w:r>
      <w:r>
        <w:rPr>
          <w:rFonts w:cs="Arial"/>
          <w:b/>
          <w:color w:val="000000"/>
        </w:rPr>
        <w:tab/>
        <w:t xml:space="preserve">: </w:t>
      </w:r>
      <w:r>
        <w:rPr>
          <w:rFonts w:cs="Arial"/>
          <w:color w:val="000000"/>
        </w:rPr>
        <w:t>Volledige uitsluiting</w:t>
      </w:r>
    </w:p>
    <w:p w14:paraId="4FAF7BFC" w14:textId="77777777" w:rsidR="00F8419A" w:rsidRPr="00F8419A" w:rsidRDefault="00F8419A" w:rsidP="00F8419A">
      <w:pPr>
        <w:pStyle w:val="Lijstalinea"/>
        <w:spacing w:line="240" w:lineRule="exact"/>
        <w:ind w:left="360"/>
        <w:rPr>
          <w:rFonts w:cs="Arial"/>
          <w:color w:val="000000"/>
        </w:rPr>
      </w:pPr>
      <w:r w:rsidRPr="00F8419A">
        <w:rPr>
          <w:rFonts w:cs="Arial"/>
          <w:color w:val="000000"/>
        </w:rPr>
        <w:t xml:space="preserve">De keuze om steen-en bruinkool volledig uit te sluiten is bewust gemaakt om CO2 terug te dringen. Niet op alle industrieën kan dit worden uitgesloten maar bij de productie van energie zijn er andere niet/minder producerende CO2 technieken voorhanden. </w:t>
      </w:r>
    </w:p>
    <w:p w14:paraId="1A344A5E" w14:textId="0F96B5B7" w:rsidR="00D524FC" w:rsidRPr="00D524FC" w:rsidRDefault="00D524FC" w:rsidP="00D524FC">
      <w:r w:rsidRPr="003A7045">
        <w:t xml:space="preserve">Samenhangend met de missie en doelstellingen van de </w:t>
      </w:r>
      <w:r w:rsidR="00ED62D7">
        <w:t>&lt;NAAM ORGANISATIE&gt;</w:t>
      </w:r>
      <w:r w:rsidRPr="003A7045">
        <w:t xml:space="preserve"> geldt een stringenter beleid ten aanzien </w:t>
      </w:r>
      <w:r w:rsidR="005301EF">
        <w:t xml:space="preserve">van </w:t>
      </w:r>
      <w:r w:rsidRPr="003A7045">
        <w:t>industrie die verband houdt met ongezonde leefstijl</w:t>
      </w:r>
      <w:r w:rsidR="005301EF">
        <w:t xml:space="preserve"> zoals de</w:t>
      </w:r>
      <w:r w:rsidRPr="003A7045">
        <w:t xml:space="preserve"> junkfoodindustrie</w:t>
      </w:r>
      <w:r w:rsidR="005301EF">
        <w:t xml:space="preserve">. Het is zeer complex om hiervoor specifieke in- en uitsluitingscriteria op te stellen. </w:t>
      </w:r>
      <w:r w:rsidR="00CE7FE7">
        <w:t xml:space="preserve">Het is </w:t>
      </w:r>
      <w:r w:rsidR="006E60F7">
        <w:t>aan</w:t>
      </w:r>
      <w:r w:rsidR="00CE7FE7">
        <w:t xml:space="preserve"> de vermogensbeheerder om industrieën gerelateerd aan de voedingsindustrie te beoordelen</w:t>
      </w:r>
      <w:r w:rsidR="006E60F7">
        <w:t xml:space="preserve"> en hierover voorstellen aan de </w:t>
      </w:r>
      <w:r w:rsidR="00ED62D7">
        <w:t>&lt;NAAM ORGANISATIE&gt;</w:t>
      </w:r>
      <w:r w:rsidR="006E60F7">
        <w:t xml:space="preserve"> te doen</w:t>
      </w:r>
      <w:r w:rsidR="00CE7FE7">
        <w:t>.</w:t>
      </w:r>
    </w:p>
    <w:sectPr w:rsidR="00D524FC" w:rsidRPr="00D524FC" w:rsidSect="00F9288E">
      <w:footerReference w:type="default" r:id="rId8"/>
      <w:pgSz w:w="11907" w:h="16840" w:code="9"/>
      <w:pgMar w:top="1304" w:right="1247" w:bottom="1134" w:left="1247" w:header="879" w:footer="6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A350" w14:textId="77777777" w:rsidR="00616E33" w:rsidRDefault="00616E33">
      <w:pPr>
        <w:spacing w:line="240" w:lineRule="auto"/>
      </w:pPr>
      <w:r>
        <w:separator/>
      </w:r>
    </w:p>
  </w:endnote>
  <w:endnote w:type="continuationSeparator" w:id="0">
    <w:p w14:paraId="4BA4A0C6" w14:textId="77777777" w:rsidR="00616E33" w:rsidRDefault="00616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right Sans Bold">
    <w:altName w:val="Calibri"/>
    <w:panose1 w:val="00000000000000000000"/>
    <w:charset w:val="00"/>
    <w:family w:val="modern"/>
    <w:notTrueType/>
    <w:pitch w:val="variable"/>
    <w:sig w:usb0="0000008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DE7C" w14:textId="6D16BFFA" w:rsidR="001B5D8F" w:rsidRPr="00096AE0" w:rsidRDefault="001B5D8F">
    <w:pPr>
      <w:pStyle w:val="Voettekst"/>
      <w:rPr>
        <w:i/>
        <w:color w:val="808080"/>
        <w:sz w:val="18"/>
        <w:szCs w:val="18"/>
      </w:rPr>
    </w:pPr>
    <w:r>
      <w:rPr>
        <w:i/>
        <w:noProof/>
        <w:color w:val="808080"/>
        <w:sz w:val="18"/>
        <w:szCs w:val="18"/>
      </w:rPr>
      <mc:AlternateContent>
        <mc:Choice Requires="wps">
          <w:drawing>
            <wp:anchor distT="0" distB="0" distL="114300" distR="114300" simplePos="0" relativeHeight="251656704" behindDoc="0" locked="0" layoutInCell="1" allowOverlap="1" wp14:anchorId="599A7F63" wp14:editId="1715EBD5">
              <wp:simplePos x="0" y="0"/>
              <wp:positionH relativeFrom="column">
                <wp:posOffset>18415</wp:posOffset>
              </wp:positionH>
              <wp:positionV relativeFrom="paragraph">
                <wp:posOffset>57785</wp:posOffset>
              </wp:positionV>
              <wp:extent cx="275463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4630"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32A61D" id="_x0000_t32" coordsize="21600,21600" o:spt="32" o:oned="t" path="m,l21600,21600e" filled="f">
              <v:path arrowok="t" fillok="f" o:connecttype="none"/>
              <o:lock v:ext="edit" shapetype="t"/>
            </v:shapetype>
            <v:shape id="AutoShape 1" o:spid="_x0000_s1026" type="#_x0000_t32" style="position:absolute;margin-left:1.45pt;margin-top:4.55pt;width:216.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" strokecolor="#666" strokeweight="1pt">
              <v:shadow color="#7f7f7f" opacity=".5" offset="1pt"/>
            </v:shape>
          </w:pict>
        </mc:Fallback>
      </mc:AlternateContent>
    </w:r>
    <w:r>
      <w:rPr>
        <w:i/>
        <w:color w:val="808080"/>
        <w:sz w:val="18"/>
        <w:szCs w:val="18"/>
      </w:rPr>
      <w:t>Treasury statuut versie</w:t>
    </w:r>
    <w:r w:rsidR="00ED62D7">
      <w:rPr>
        <w:i/>
        <w:color w:val="808080"/>
        <w:sz w:val="18"/>
        <w:szCs w:val="18"/>
      </w:rPr>
      <w:t xml:space="preserve"> xxx, datum xxx, organisatie xxx</w:t>
    </w:r>
    <w:r w:rsidRPr="00096AE0">
      <w:rPr>
        <w:i/>
        <w:color w:val="808080"/>
        <w:sz w:val="18"/>
        <w:szCs w:val="18"/>
      </w:rPr>
      <w:tab/>
    </w:r>
    <w:r w:rsidRPr="00096AE0">
      <w:rPr>
        <w:i/>
        <w:color w:val="808080"/>
        <w:sz w:val="18"/>
        <w:szCs w:val="18"/>
      </w:rPr>
      <w:tab/>
    </w:r>
    <w:r w:rsidRPr="00096AE0">
      <w:rPr>
        <w:i/>
        <w:color w:val="808080"/>
        <w:sz w:val="18"/>
        <w:szCs w:val="18"/>
      </w:rPr>
      <w:tab/>
    </w:r>
    <w:r w:rsidRPr="00096AE0">
      <w:rPr>
        <w:i/>
        <w:color w:val="808080"/>
        <w:sz w:val="18"/>
        <w:szCs w:val="18"/>
      </w:rPr>
      <w:fldChar w:fldCharType="begin"/>
    </w:r>
    <w:r w:rsidRPr="00096AE0">
      <w:rPr>
        <w:i/>
        <w:color w:val="808080"/>
        <w:sz w:val="18"/>
        <w:szCs w:val="18"/>
      </w:rPr>
      <w:instrText>PAGE   \* MERGEFORMAT</w:instrText>
    </w:r>
    <w:r w:rsidRPr="00096AE0">
      <w:rPr>
        <w:i/>
        <w:color w:val="808080"/>
        <w:sz w:val="18"/>
        <w:szCs w:val="18"/>
      </w:rPr>
      <w:fldChar w:fldCharType="separate"/>
    </w:r>
    <w:r w:rsidR="006E60F7">
      <w:rPr>
        <w:i/>
        <w:noProof/>
        <w:color w:val="808080"/>
        <w:sz w:val="18"/>
        <w:szCs w:val="18"/>
      </w:rPr>
      <w:t>2</w:t>
    </w:r>
    <w:r w:rsidRPr="00096AE0">
      <w:rPr>
        <w:i/>
        <w:color w:val="808080"/>
        <w:sz w:val="18"/>
        <w:szCs w:val="18"/>
      </w:rPr>
      <w:fldChar w:fldCharType="end"/>
    </w:r>
  </w:p>
  <w:p w14:paraId="1FFD399A" w14:textId="77777777" w:rsidR="001B5D8F" w:rsidRDefault="001B5D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EACC" w14:textId="77777777" w:rsidR="00616E33" w:rsidRDefault="00616E33">
      <w:pPr>
        <w:spacing w:line="240" w:lineRule="auto"/>
      </w:pPr>
      <w:r>
        <w:separator/>
      </w:r>
    </w:p>
  </w:footnote>
  <w:footnote w:type="continuationSeparator" w:id="0">
    <w:p w14:paraId="2E022C29" w14:textId="77777777" w:rsidR="00616E33" w:rsidRDefault="00616E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A30"/>
    <w:multiLevelType w:val="hybridMultilevel"/>
    <w:tmpl w:val="81CC16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A368D0"/>
    <w:multiLevelType w:val="hybridMultilevel"/>
    <w:tmpl w:val="A41C35CC"/>
    <w:lvl w:ilvl="0" w:tplc="6CC43BE2">
      <w:numFmt w:val="bullet"/>
      <w:lvlText w:val="-"/>
      <w:lvlJc w:val="left"/>
      <w:pPr>
        <w:tabs>
          <w:tab w:val="num" w:pos="360"/>
        </w:tabs>
        <w:ind w:left="360" w:hanging="360"/>
      </w:pPr>
      <w:rPr>
        <w:rFonts w:ascii="Arial" w:eastAsia="Times New Roman" w:hAnsi="Arial" w:cs="Wingdings" w:hint="default"/>
      </w:rPr>
    </w:lvl>
    <w:lvl w:ilvl="1" w:tplc="04130003">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85A5D"/>
    <w:multiLevelType w:val="hybridMultilevel"/>
    <w:tmpl w:val="CDDCFD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372B57"/>
    <w:multiLevelType w:val="hybridMultilevel"/>
    <w:tmpl w:val="D390C14A"/>
    <w:lvl w:ilvl="0" w:tplc="6CC43BE2">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9C7EF8"/>
    <w:multiLevelType w:val="hybridMultilevel"/>
    <w:tmpl w:val="888855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40C4B62"/>
    <w:multiLevelType w:val="hybridMultilevel"/>
    <w:tmpl w:val="56C2A900"/>
    <w:lvl w:ilvl="0" w:tplc="6CC43BE2">
      <w:numFmt w:val="bullet"/>
      <w:lvlText w:val="-"/>
      <w:lvlJc w:val="left"/>
      <w:pPr>
        <w:tabs>
          <w:tab w:val="num" w:pos="360"/>
        </w:tabs>
        <w:ind w:left="360" w:hanging="360"/>
      </w:pPr>
      <w:rPr>
        <w:rFonts w:ascii="Arial" w:eastAsia="Times New Roman" w:hAnsi="Arial" w:cs="Wingdings" w:hint="default"/>
      </w:rPr>
    </w:lvl>
    <w:lvl w:ilvl="1" w:tplc="04130003">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3A0F2C"/>
    <w:multiLevelType w:val="hybridMultilevel"/>
    <w:tmpl w:val="7BA61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B00047"/>
    <w:multiLevelType w:val="multilevel"/>
    <w:tmpl w:val="F33278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2CB75A6"/>
    <w:multiLevelType w:val="hybridMultilevel"/>
    <w:tmpl w:val="0138195A"/>
    <w:lvl w:ilvl="0" w:tplc="6CC43BE2">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824819"/>
    <w:multiLevelType w:val="hybridMultilevel"/>
    <w:tmpl w:val="693EC9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3C156B"/>
    <w:multiLevelType w:val="hybridMultilevel"/>
    <w:tmpl w:val="9E9414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16A67B3"/>
    <w:multiLevelType w:val="hybridMultilevel"/>
    <w:tmpl w:val="223CC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A102FA0"/>
    <w:multiLevelType w:val="hybridMultilevel"/>
    <w:tmpl w:val="77BE219A"/>
    <w:lvl w:ilvl="0" w:tplc="6CC43BE2">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531BF2"/>
    <w:multiLevelType w:val="hybridMultilevel"/>
    <w:tmpl w:val="7518B3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2BA1392"/>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12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49D417BD"/>
    <w:multiLevelType w:val="hybridMultilevel"/>
    <w:tmpl w:val="CF5EFA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A921938"/>
    <w:multiLevelType w:val="hybridMultilevel"/>
    <w:tmpl w:val="7F44EBB8"/>
    <w:lvl w:ilvl="0" w:tplc="6CC43BE2">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B41569"/>
    <w:multiLevelType w:val="hybridMultilevel"/>
    <w:tmpl w:val="0C207496"/>
    <w:lvl w:ilvl="0" w:tplc="6CC43BE2">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D6064D"/>
    <w:multiLevelType w:val="hybridMultilevel"/>
    <w:tmpl w:val="B87623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69B379A"/>
    <w:multiLevelType w:val="hybridMultilevel"/>
    <w:tmpl w:val="B6CEAE18"/>
    <w:lvl w:ilvl="0" w:tplc="6CC43BE2">
      <w:numFmt w:val="bullet"/>
      <w:lvlText w:val="-"/>
      <w:lvlJc w:val="left"/>
      <w:pPr>
        <w:ind w:left="360" w:hanging="360"/>
      </w:pPr>
      <w:rPr>
        <w:rFonts w:ascii="Arial" w:eastAsia="Times New Roman" w:hAnsi="Arial" w:cs="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CE46BCF"/>
    <w:multiLevelType w:val="hybridMultilevel"/>
    <w:tmpl w:val="4B66F77C"/>
    <w:lvl w:ilvl="0" w:tplc="6CC43BE2">
      <w:numFmt w:val="bullet"/>
      <w:lvlText w:val="-"/>
      <w:lvlJc w:val="left"/>
      <w:pPr>
        <w:ind w:left="360" w:hanging="360"/>
      </w:pPr>
      <w:rPr>
        <w:rFonts w:ascii="Arial" w:eastAsia="Times New Roman" w:hAnsi="Arial" w:cs="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B45C1E"/>
    <w:multiLevelType w:val="multilevel"/>
    <w:tmpl w:val="F33278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FED41E3"/>
    <w:multiLevelType w:val="hybridMultilevel"/>
    <w:tmpl w:val="B7DAA15E"/>
    <w:lvl w:ilvl="0" w:tplc="6CC43BE2">
      <w:numFmt w:val="bullet"/>
      <w:lvlText w:val="-"/>
      <w:lvlJc w:val="left"/>
      <w:pPr>
        <w:tabs>
          <w:tab w:val="num" w:pos="360"/>
        </w:tabs>
        <w:ind w:left="360" w:hanging="360"/>
      </w:pPr>
      <w:rPr>
        <w:rFonts w:ascii="Arial" w:eastAsia="Times New Roman" w:hAnsi="Arial" w:cs="Wingdings" w:hint="default"/>
      </w:rPr>
    </w:lvl>
    <w:lvl w:ilvl="1" w:tplc="04130003">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194AB0"/>
    <w:multiLevelType w:val="hybridMultilevel"/>
    <w:tmpl w:val="16B220B0"/>
    <w:lvl w:ilvl="0" w:tplc="6CC43BE2">
      <w:numFmt w:val="bullet"/>
      <w:lvlText w:val="-"/>
      <w:lvlJc w:val="left"/>
      <w:pPr>
        <w:tabs>
          <w:tab w:val="num" w:pos="360"/>
        </w:tabs>
        <w:ind w:left="360" w:hanging="360"/>
      </w:pPr>
      <w:rPr>
        <w:rFonts w:ascii="Arial" w:eastAsia="Times New Roman" w:hAnsi="Arial" w:cs="Wingdings" w:hint="default"/>
      </w:rPr>
    </w:lvl>
    <w:lvl w:ilvl="1" w:tplc="6CC43BE2">
      <w:numFmt w:val="bullet"/>
      <w:lvlText w:val="-"/>
      <w:lvlJc w:val="left"/>
      <w:pPr>
        <w:tabs>
          <w:tab w:val="num" w:pos="1080"/>
        </w:tabs>
        <w:ind w:left="1080" w:hanging="360"/>
      </w:pPr>
      <w:rPr>
        <w:rFonts w:ascii="Arial" w:eastAsia="Times New Roman" w:hAnsi="Arial"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F84E16"/>
    <w:multiLevelType w:val="hybridMultilevel"/>
    <w:tmpl w:val="EA066EA6"/>
    <w:lvl w:ilvl="0" w:tplc="6CC43BE2">
      <w:numFmt w:val="bullet"/>
      <w:lvlText w:val="-"/>
      <w:lvlJc w:val="left"/>
      <w:pPr>
        <w:ind w:left="360" w:hanging="360"/>
      </w:pPr>
      <w:rPr>
        <w:rFonts w:ascii="Arial" w:eastAsia="Times New Roman" w:hAnsi="Arial" w:cs="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B5D0CDD"/>
    <w:multiLevelType w:val="hybridMultilevel"/>
    <w:tmpl w:val="741000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8811D9"/>
    <w:multiLevelType w:val="hybridMultilevel"/>
    <w:tmpl w:val="C6A2DBB2"/>
    <w:lvl w:ilvl="0" w:tplc="6CC43BE2">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A45E4"/>
    <w:multiLevelType w:val="multilevel"/>
    <w:tmpl w:val="F33278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AC6A4C"/>
    <w:multiLevelType w:val="hybridMultilevel"/>
    <w:tmpl w:val="82965C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92D183D"/>
    <w:multiLevelType w:val="hybridMultilevel"/>
    <w:tmpl w:val="0EB220D6"/>
    <w:lvl w:ilvl="0" w:tplc="0413000F">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865FBA"/>
    <w:multiLevelType w:val="hybridMultilevel"/>
    <w:tmpl w:val="0EB220D6"/>
    <w:lvl w:ilvl="0" w:tplc="0413000F">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6C2044"/>
    <w:multiLevelType w:val="hybridMultilevel"/>
    <w:tmpl w:val="1854D6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37931365">
    <w:abstractNumId w:val="14"/>
  </w:num>
  <w:num w:numId="2" w16cid:durableId="1988976392">
    <w:abstractNumId w:val="28"/>
  </w:num>
  <w:num w:numId="3" w16cid:durableId="2108962020">
    <w:abstractNumId w:val="4"/>
  </w:num>
  <w:num w:numId="4" w16cid:durableId="1506478037">
    <w:abstractNumId w:val="18"/>
  </w:num>
  <w:num w:numId="5" w16cid:durableId="1421178447">
    <w:abstractNumId w:val="31"/>
  </w:num>
  <w:num w:numId="6" w16cid:durableId="1641612896">
    <w:abstractNumId w:val="10"/>
  </w:num>
  <w:num w:numId="7" w16cid:durableId="1466268085">
    <w:abstractNumId w:val="21"/>
  </w:num>
  <w:num w:numId="8" w16cid:durableId="210583197">
    <w:abstractNumId w:val="27"/>
  </w:num>
  <w:num w:numId="9" w16cid:durableId="103311413">
    <w:abstractNumId w:val="7"/>
  </w:num>
  <w:num w:numId="10" w16cid:durableId="1593473380">
    <w:abstractNumId w:val="14"/>
  </w:num>
  <w:num w:numId="11" w16cid:durableId="1663661661">
    <w:abstractNumId w:val="9"/>
  </w:num>
  <w:num w:numId="12" w16cid:durableId="1623075476">
    <w:abstractNumId w:val="22"/>
  </w:num>
  <w:num w:numId="13" w16cid:durableId="1409772163">
    <w:abstractNumId w:val="16"/>
  </w:num>
  <w:num w:numId="14" w16cid:durableId="1395739089">
    <w:abstractNumId w:val="12"/>
  </w:num>
  <w:num w:numId="15" w16cid:durableId="1488278528">
    <w:abstractNumId w:val="17"/>
  </w:num>
  <w:num w:numId="16" w16cid:durableId="894773800">
    <w:abstractNumId w:val="29"/>
  </w:num>
  <w:num w:numId="17" w16cid:durableId="1257405165">
    <w:abstractNumId w:val="1"/>
  </w:num>
  <w:num w:numId="18" w16cid:durableId="1507095556">
    <w:abstractNumId w:val="5"/>
  </w:num>
  <w:num w:numId="19" w16cid:durableId="241331111">
    <w:abstractNumId w:val="30"/>
  </w:num>
  <w:num w:numId="20" w16cid:durableId="560137555">
    <w:abstractNumId w:val="14"/>
  </w:num>
  <w:num w:numId="21" w16cid:durableId="134833831">
    <w:abstractNumId w:val="14"/>
  </w:num>
  <w:num w:numId="22" w16cid:durableId="276986168">
    <w:abstractNumId w:val="8"/>
  </w:num>
  <w:num w:numId="23" w16cid:durableId="1779446504">
    <w:abstractNumId w:val="23"/>
  </w:num>
  <w:num w:numId="24" w16cid:durableId="23874581">
    <w:abstractNumId w:val="26"/>
  </w:num>
  <w:num w:numId="25" w16cid:durableId="875698296">
    <w:abstractNumId w:val="3"/>
  </w:num>
  <w:num w:numId="26" w16cid:durableId="442069265">
    <w:abstractNumId w:val="20"/>
  </w:num>
  <w:num w:numId="27" w16cid:durableId="52893761">
    <w:abstractNumId w:val="24"/>
  </w:num>
  <w:num w:numId="28" w16cid:durableId="1316178500">
    <w:abstractNumId w:val="15"/>
  </w:num>
  <w:num w:numId="29" w16cid:durableId="795025282">
    <w:abstractNumId w:val="11"/>
  </w:num>
  <w:num w:numId="30" w16cid:durableId="2007049320">
    <w:abstractNumId w:val="2"/>
  </w:num>
  <w:num w:numId="31" w16cid:durableId="1826971969">
    <w:abstractNumId w:val="0"/>
  </w:num>
  <w:num w:numId="32" w16cid:durableId="2008707020">
    <w:abstractNumId w:val="25"/>
  </w:num>
  <w:num w:numId="33" w16cid:durableId="482703423">
    <w:abstractNumId w:val="19"/>
  </w:num>
  <w:num w:numId="34" w16cid:durableId="812061814">
    <w:abstractNumId w:val="6"/>
  </w:num>
  <w:num w:numId="35" w16cid:durableId="15331112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60"/>
    <w:rsid w:val="000144AD"/>
    <w:rsid w:val="00014F31"/>
    <w:rsid w:val="00020C49"/>
    <w:rsid w:val="00034B94"/>
    <w:rsid w:val="0003719B"/>
    <w:rsid w:val="00062379"/>
    <w:rsid w:val="00074613"/>
    <w:rsid w:val="00096AE0"/>
    <w:rsid w:val="000E599C"/>
    <w:rsid w:val="000F37D9"/>
    <w:rsid w:val="00105A4F"/>
    <w:rsid w:val="0012040A"/>
    <w:rsid w:val="00147BA2"/>
    <w:rsid w:val="00154731"/>
    <w:rsid w:val="00156671"/>
    <w:rsid w:val="00161830"/>
    <w:rsid w:val="00166DAA"/>
    <w:rsid w:val="001755CC"/>
    <w:rsid w:val="00175DBA"/>
    <w:rsid w:val="001944D4"/>
    <w:rsid w:val="001B5D8F"/>
    <w:rsid w:val="001D658C"/>
    <w:rsid w:val="001F59DE"/>
    <w:rsid w:val="00234B1B"/>
    <w:rsid w:val="00235D22"/>
    <w:rsid w:val="0024524E"/>
    <w:rsid w:val="002479C4"/>
    <w:rsid w:val="002739B1"/>
    <w:rsid w:val="00284E64"/>
    <w:rsid w:val="00290422"/>
    <w:rsid w:val="00295DE9"/>
    <w:rsid w:val="00297640"/>
    <w:rsid w:val="002A4731"/>
    <w:rsid w:val="002C32AA"/>
    <w:rsid w:val="002D4E1F"/>
    <w:rsid w:val="002F0862"/>
    <w:rsid w:val="002F19C5"/>
    <w:rsid w:val="002F7800"/>
    <w:rsid w:val="003001CE"/>
    <w:rsid w:val="0030500D"/>
    <w:rsid w:val="00311F8B"/>
    <w:rsid w:val="003214A8"/>
    <w:rsid w:val="00321EF7"/>
    <w:rsid w:val="00323D58"/>
    <w:rsid w:val="00330416"/>
    <w:rsid w:val="00337AF6"/>
    <w:rsid w:val="00343640"/>
    <w:rsid w:val="00344C6F"/>
    <w:rsid w:val="00370493"/>
    <w:rsid w:val="00375E4E"/>
    <w:rsid w:val="00390CB0"/>
    <w:rsid w:val="003A7045"/>
    <w:rsid w:val="003B01B2"/>
    <w:rsid w:val="003B1E50"/>
    <w:rsid w:val="003D1B3F"/>
    <w:rsid w:val="003D2CD0"/>
    <w:rsid w:val="003E15DB"/>
    <w:rsid w:val="003E1FED"/>
    <w:rsid w:val="003F7139"/>
    <w:rsid w:val="00411568"/>
    <w:rsid w:val="00416CF8"/>
    <w:rsid w:val="004204DA"/>
    <w:rsid w:val="00423A3B"/>
    <w:rsid w:val="00424F00"/>
    <w:rsid w:val="00425817"/>
    <w:rsid w:val="00426273"/>
    <w:rsid w:val="00464B96"/>
    <w:rsid w:val="00474333"/>
    <w:rsid w:val="0047554F"/>
    <w:rsid w:val="0048151E"/>
    <w:rsid w:val="00483432"/>
    <w:rsid w:val="00491FE7"/>
    <w:rsid w:val="004C2423"/>
    <w:rsid w:val="004E30C2"/>
    <w:rsid w:val="00503FD0"/>
    <w:rsid w:val="005301EF"/>
    <w:rsid w:val="00552438"/>
    <w:rsid w:val="00554C1D"/>
    <w:rsid w:val="00571AF7"/>
    <w:rsid w:val="00592B95"/>
    <w:rsid w:val="0059590B"/>
    <w:rsid w:val="00597F24"/>
    <w:rsid w:val="005A23EE"/>
    <w:rsid w:val="005B1422"/>
    <w:rsid w:val="005B4671"/>
    <w:rsid w:val="005C0624"/>
    <w:rsid w:val="005C15C2"/>
    <w:rsid w:val="005D4E1C"/>
    <w:rsid w:val="005E32EC"/>
    <w:rsid w:val="006033F2"/>
    <w:rsid w:val="00610E8B"/>
    <w:rsid w:val="00616E33"/>
    <w:rsid w:val="00616EA8"/>
    <w:rsid w:val="00621DFF"/>
    <w:rsid w:val="0062529C"/>
    <w:rsid w:val="00632889"/>
    <w:rsid w:val="0066394C"/>
    <w:rsid w:val="006751D4"/>
    <w:rsid w:val="00691B5D"/>
    <w:rsid w:val="006C2DF0"/>
    <w:rsid w:val="006D35A4"/>
    <w:rsid w:val="006E1B20"/>
    <w:rsid w:val="006E41B3"/>
    <w:rsid w:val="006E60F7"/>
    <w:rsid w:val="00701C7F"/>
    <w:rsid w:val="00711124"/>
    <w:rsid w:val="007207D5"/>
    <w:rsid w:val="00722F46"/>
    <w:rsid w:val="00746460"/>
    <w:rsid w:val="007466E1"/>
    <w:rsid w:val="00747F00"/>
    <w:rsid w:val="00750865"/>
    <w:rsid w:val="00751AC0"/>
    <w:rsid w:val="007F38C7"/>
    <w:rsid w:val="00811C37"/>
    <w:rsid w:val="00842462"/>
    <w:rsid w:val="00884243"/>
    <w:rsid w:val="00884BB4"/>
    <w:rsid w:val="00891776"/>
    <w:rsid w:val="008934D0"/>
    <w:rsid w:val="008A6523"/>
    <w:rsid w:val="008A7CE8"/>
    <w:rsid w:val="008B2E0B"/>
    <w:rsid w:val="008D5930"/>
    <w:rsid w:val="008E51DA"/>
    <w:rsid w:val="009369C4"/>
    <w:rsid w:val="00936F0F"/>
    <w:rsid w:val="00947A77"/>
    <w:rsid w:val="00961CC6"/>
    <w:rsid w:val="0098475D"/>
    <w:rsid w:val="009A3165"/>
    <w:rsid w:val="009A7D90"/>
    <w:rsid w:val="009B45B2"/>
    <w:rsid w:val="009B4826"/>
    <w:rsid w:val="009B6014"/>
    <w:rsid w:val="009D3528"/>
    <w:rsid w:val="009D43F8"/>
    <w:rsid w:val="009D7B81"/>
    <w:rsid w:val="009F79AE"/>
    <w:rsid w:val="00A060DA"/>
    <w:rsid w:val="00A11612"/>
    <w:rsid w:val="00A2105F"/>
    <w:rsid w:val="00A31096"/>
    <w:rsid w:val="00A46AFC"/>
    <w:rsid w:val="00A46EBD"/>
    <w:rsid w:val="00A47C46"/>
    <w:rsid w:val="00A735A9"/>
    <w:rsid w:val="00A81926"/>
    <w:rsid w:val="00A9513E"/>
    <w:rsid w:val="00AA0CC9"/>
    <w:rsid w:val="00AB00D6"/>
    <w:rsid w:val="00AB2EC9"/>
    <w:rsid w:val="00AD51E7"/>
    <w:rsid w:val="00AD7601"/>
    <w:rsid w:val="00AF6D3A"/>
    <w:rsid w:val="00B10B54"/>
    <w:rsid w:val="00B426DA"/>
    <w:rsid w:val="00B42E1E"/>
    <w:rsid w:val="00B57808"/>
    <w:rsid w:val="00B806DD"/>
    <w:rsid w:val="00B80B94"/>
    <w:rsid w:val="00B910AD"/>
    <w:rsid w:val="00B970D0"/>
    <w:rsid w:val="00BA18C3"/>
    <w:rsid w:val="00BA1F75"/>
    <w:rsid w:val="00BA5E29"/>
    <w:rsid w:val="00BA7DD2"/>
    <w:rsid w:val="00BD5758"/>
    <w:rsid w:val="00BF10ED"/>
    <w:rsid w:val="00C0430F"/>
    <w:rsid w:val="00C270EA"/>
    <w:rsid w:val="00C61029"/>
    <w:rsid w:val="00CB32F6"/>
    <w:rsid w:val="00CD29C7"/>
    <w:rsid w:val="00CD557A"/>
    <w:rsid w:val="00CE7FE7"/>
    <w:rsid w:val="00CF71F3"/>
    <w:rsid w:val="00D06B61"/>
    <w:rsid w:val="00D14769"/>
    <w:rsid w:val="00D24415"/>
    <w:rsid w:val="00D46126"/>
    <w:rsid w:val="00D524FC"/>
    <w:rsid w:val="00D60389"/>
    <w:rsid w:val="00D82396"/>
    <w:rsid w:val="00DA5411"/>
    <w:rsid w:val="00DC0F18"/>
    <w:rsid w:val="00DD0B3C"/>
    <w:rsid w:val="00DD223E"/>
    <w:rsid w:val="00DD2A4D"/>
    <w:rsid w:val="00DD7BB2"/>
    <w:rsid w:val="00DE7FAA"/>
    <w:rsid w:val="00E06386"/>
    <w:rsid w:val="00E11E88"/>
    <w:rsid w:val="00E344C8"/>
    <w:rsid w:val="00EA7234"/>
    <w:rsid w:val="00EB0242"/>
    <w:rsid w:val="00EC25D8"/>
    <w:rsid w:val="00ED62D7"/>
    <w:rsid w:val="00EE6935"/>
    <w:rsid w:val="00F04A42"/>
    <w:rsid w:val="00F04D87"/>
    <w:rsid w:val="00F06D88"/>
    <w:rsid w:val="00F11731"/>
    <w:rsid w:val="00F130BC"/>
    <w:rsid w:val="00F13947"/>
    <w:rsid w:val="00F20533"/>
    <w:rsid w:val="00F205F2"/>
    <w:rsid w:val="00F77E2C"/>
    <w:rsid w:val="00F81F0E"/>
    <w:rsid w:val="00F8419A"/>
    <w:rsid w:val="00F9288E"/>
    <w:rsid w:val="00F971E8"/>
    <w:rsid w:val="00FC0367"/>
    <w:rsid w:val="00FE0D4F"/>
    <w:rsid w:val="00FE1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294E19"/>
  <w15:docId w15:val="{E968055E-78D2-46A8-B09F-84EAD48D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96AE0"/>
    <w:pPr>
      <w:spacing w:before="120" w:line="280" w:lineRule="exact"/>
    </w:pPr>
    <w:rPr>
      <w:rFonts w:ascii="Arial" w:hAnsi="Arial"/>
    </w:rPr>
  </w:style>
  <w:style w:type="paragraph" w:styleId="Kop1">
    <w:name w:val="heading 1"/>
    <w:basedOn w:val="Standaard"/>
    <w:next w:val="Standaard"/>
    <w:qFormat/>
    <w:rsid w:val="00A060DA"/>
    <w:pPr>
      <w:keepNext/>
      <w:numPr>
        <w:numId w:val="1"/>
      </w:numPr>
      <w:outlineLvl w:val="0"/>
    </w:pPr>
    <w:rPr>
      <w:b/>
      <w:sz w:val="28"/>
    </w:rPr>
  </w:style>
  <w:style w:type="paragraph" w:styleId="Kop2">
    <w:name w:val="heading 2"/>
    <w:basedOn w:val="Standaard"/>
    <w:next w:val="Standaard"/>
    <w:qFormat/>
    <w:rsid w:val="005A23EE"/>
    <w:pPr>
      <w:keepNext/>
      <w:numPr>
        <w:ilvl w:val="1"/>
        <w:numId w:val="1"/>
      </w:numPr>
      <w:outlineLvl w:val="1"/>
    </w:pPr>
    <w:rPr>
      <w:b/>
    </w:rPr>
  </w:style>
  <w:style w:type="paragraph" w:styleId="Kop3">
    <w:name w:val="heading 3"/>
    <w:basedOn w:val="Standaard"/>
    <w:next w:val="Standaard"/>
    <w:qFormat/>
    <w:rsid w:val="005A23EE"/>
    <w:pPr>
      <w:keepNext/>
      <w:numPr>
        <w:ilvl w:val="2"/>
        <w:numId w:val="1"/>
      </w:numPr>
      <w:outlineLvl w:val="2"/>
    </w:pPr>
    <w:rPr>
      <w:i/>
    </w:rPr>
  </w:style>
  <w:style w:type="paragraph" w:styleId="Kop4">
    <w:name w:val="heading 4"/>
    <w:basedOn w:val="Standaard"/>
    <w:next w:val="Standaard"/>
    <w:link w:val="Kop4Char"/>
    <w:uiPriority w:val="9"/>
    <w:semiHidden/>
    <w:unhideWhenUsed/>
    <w:qFormat/>
    <w:rsid w:val="00096AE0"/>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uiPriority w:val="9"/>
    <w:semiHidden/>
    <w:unhideWhenUsed/>
    <w:qFormat/>
    <w:rsid w:val="00096AE0"/>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semiHidden/>
    <w:unhideWhenUsed/>
    <w:qFormat/>
    <w:rsid w:val="00096AE0"/>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uiPriority w:val="9"/>
    <w:semiHidden/>
    <w:unhideWhenUsed/>
    <w:qFormat/>
    <w:rsid w:val="00096AE0"/>
    <w:pPr>
      <w:numPr>
        <w:ilvl w:val="6"/>
        <w:numId w:val="1"/>
      </w:numPr>
      <w:spacing w:before="240" w:after="60"/>
      <w:outlineLvl w:val="6"/>
    </w:pPr>
    <w:rPr>
      <w:rFonts w:ascii="Calibri" w:hAnsi="Calibri"/>
      <w:sz w:val="24"/>
      <w:szCs w:val="24"/>
    </w:rPr>
  </w:style>
  <w:style w:type="paragraph" w:styleId="Kop8">
    <w:name w:val="heading 8"/>
    <w:basedOn w:val="Standaard"/>
    <w:next w:val="Standaard"/>
    <w:link w:val="Kop8Char"/>
    <w:uiPriority w:val="9"/>
    <w:semiHidden/>
    <w:unhideWhenUsed/>
    <w:qFormat/>
    <w:rsid w:val="00096AE0"/>
    <w:pPr>
      <w:numPr>
        <w:ilvl w:val="7"/>
        <w:numId w:val="1"/>
      </w:numPr>
      <w:spacing w:before="240" w:after="60"/>
      <w:outlineLvl w:val="7"/>
    </w:pPr>
    <w:rPr>
      <w:rFonts w:ascii="Calibri" w:hAnsi="Calibri"/>
      <w:i/>
      <w:iCs/>
      <w:sz w:val="24"/>
      <w:szCs w:val="24"/>
    </w:rPr>
  </w:style>
  <w:style w:type="paragraph" w:styleId="Kop9">
    <w:name w:val="heading 9"/>
    <w:basedOn w:val="Standaard"/>
    <w:next w:val="Standaard"/>
    <w:link w:val="Kop9Char"/>
    <w:uiPriority w:val="9"/>
    <w:semiHidden/>
    <w:unhideWhenUsed/>
    <w:qFormat/>
    <w:rsid w:val="00096AE0"/>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character" w:styleId="Paginanummer">
    <w:name w:val="page number"/>
    <w:basedOn w:val="Standaardalinea-lettertype"/>
    <w:semiHidden/>
  </w:style>
  <w:style w:type="paragraph" w:styleId="Geenafstand">
    <w:name w:val="No Spacing"/>
    <w:uiPriority w:val="1"/>
    <w:qFormat/>
    <w:rsid w:val="005A23EE"/>
    <w:rPr>
      <w:rFonts w:ascii="Arial" w:hAnsi="Arial"/>
    </w:rPr>
  </w:style>
  <w:style w:type="paragraph" w:styleId="Citaat">
    <w:name w:val="Quote"/>
    <w:basedOn w:val="Standaard"/>
    <w:next w:val="Standaard"/>
    <w:link w:val="CitaatChar"/>
    <w:uiPriority w:val="29"/>
    <w:qFormat/>
    <w:rsid w:val="005A23EE"/>
    <w:rPr>
      <w:i/>
      <w:iCs/>
      <w:color w:val="000000"/>
    </w:rPr>
  </w:style>
  <w:style w:type="character" w:customStyle="1" w:styleId="CitaatChar">
    <w:name w:val="Citaat Char"/>
    <w:link w:val="Citaat"/>
    <w:uiPriority w:val="29"/>
    <w:rsid w:val="005A23EE"/>
    <w:rPr>
      <w:rFonts w:ascii="Arial" w:hAnsi="Arial"/>
      <w:i/>
      <w:iCs/>
      <w:color w:val="000000"/>
    </w:rPr>
  </w:style>
  <w:style w:type="character" w:customStyle="1" w:styleId="VoettekstChar">
    <w:name w:val="Voettekst Char"/>
    <w:link w:val="Voettekst"/>
    <w:uiPriority w:val="99"/>
    <w:rsid w:val="00234B1B"/>
    <w:rPr>
      <w:rFonts w:ascii="Arial" w:hAnsi="Arial"/>
    </w:rPr>
  </w:style>
  <w:style w:type="paragraph" w:styleId="Ballontekst">
    <w:name w:val="Balloon Text"/>
    <w:basedOn w:val="Standaard"/>
    <w:link w:val="BallontekstChar"/>
    <w:uiPriority w:val="99"/>
    <w:semiHidden/>
    <w:unhideWhenUsed/>
    <w:rsid w:val="00234B1B"/>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234B1B"/>
    <w:rPr>
      <w:rFonts w:ascii="Tahoma" w:hAnsi="Tahoma" w:cs="Tahoma"/>
      <w:sz w:val="16"/>
      <w:szCs w:val="16"/>
    </w:rPr>
  </w:style>
  <w:style w:type="paragraph" w:customStyle="1" w:styleId="FooterLeft">
    <w:name w:val="Footer Left"/>
    <w:basedOn w:val="Voettekst"/>
    <w:uiPriority w:val="35"/>
    <w:qFormat/>
    <w:rsid w:val="00A060DA"/>
    <w:pPr>
      <w:pBdr>
        <w:top w:val="dashed" w:sz="4" w:space="18" w:color="7F7F7F"/>
      </w:pBdr>
      <w:spacing w:after="200" w:line="240" w:lineRule="auto"/>
      <w:contextualSpacing/>
    </w:pPr>
    <w:rPr>
      <w:rFonts w:ascii="Calibri" w:hAnsi="Calibri"/>
      <w:color w:val="7F7F7F"/>
      <w:lang w:eastAsia="ja-JP"/>
    </w:rPr>
  </w:style>
  <w:style w:type="paragraph" w:styleId="Kopvaninhoudsopgave">
    <w:name w:val="TOC Heading"/>
    <w:basedOn w:val="Kop1"/>
    <w:next w:val="Standaard"/>
    <w:uiPriority w:val="39"/>
    <w:semiHidden/>
    <w:unhideWhenUsed/>
    <w:qFormat/>
    <w:rsid w:val="002D4E1F"/>
    <w:pPr>
      <w:keepLines/>
      <w:numPr>
        <w:numId w:val="0"/>
      </w:numPr>
      <w:spacing w:before="480" w:line="276" w:lineRule="auto"/>
      <w:outlineLvl w:val="9"/>
    </w:pPr>
    <w:rPr>
      <w:rFonts w:ascii="Cambria" w:hAnsi="Cambria"/>
      <w:bCs/>
      <w:color w:val="365F91"/>
      <w:szCs w:val="28"/>
    </w:rPr>
  </w:style>
  <w:style w:type="paragraph" w:styleId="Inhopg1">
    <w:name w:val="toc 1"/>
    <w:basedOn w:val="Standaard"/>
    <w:next w:val="Standaard"/>
    <w:autoRedefine/>
    <w:uiPriority w:val="39"/>
    <w:unhideWhenUsed/>
    <w:qFormat/>
    <w:rsid w:val="002D4E1F"/>
  </w:style>
  <w:style w:type="paragraph" w:styleId="Inhopg2">
    <w:name w:val="toc 2"/>
    <w:basedOn w:val="Standaard"/>
    <w:next w:val="Standaard"/>
    <w:autoRedefine/>
    <w:uiPriority w:val="39"/>
    <w:unhideWhenUsed/>
    <w:qFormat/>
    <w:rsid w:val="002D4E1F"/>
    <w:pPr>
      <w:ind w:left="200"/>
    </w:pPr>
  </w:style>
  <w:style w:type="paragraph" w:styleId="Inhopg3">
    <w:name w:val="toc 3"/>
    <w:basedOn w:val="Standaard"/>
    <w:next w:val="Standaard"/>
    <w:autoRedefine/>
    <w:uiPriority w:val="39"/>
    <w:unhideWhenUsed/>
    <w:qFormat/>
    <w:rsid w:val="002D4E1F"/>
    <w:pPr>
      <w:ind w:left="400"/>
    </w:pPr>
  </w:style>
  <w:style w:type="character" w:styleId="Hyperlink">
    <w:name w:val="Hyperlink"/>
    <w:uiPriority w:val="99"/>
    <w:unhideWhenUsed/>
    <w:rsid w:val="002D4E1F"/>
    <w:rPr>
      <w:color w:val="0000FF"/>
      <w:u w:val="single"/>
    </w:rPr>
  </w:style>
  <w:style w:type="character" w:customStyle="1" w:styleId="Kop4Char">
    <w:name w:val="Kop 4 Char"/>
    <w:link w:val="Kop4"/>
    <w:uiPriority w:val="9"/>
    <w:semiHidden/>
    <w:rsid w:val="00096AE0"/>
    <w:rPr>
      <w:rFonts w:ascii="Calibri" w:hAnsi="Calibri"/>
      <w:b/>
      <w:bCs/>
      <w:sz w:val="28"/>
      <w:szCs w:val="28"/>
    </w:rPr>
  </w:style>
  <w:style w:type="character" w:customStyle="1" w:styleId="Kop5Char">
    <w:name w:val="Kop 5 Char"/>
    <w:link w:val="Kop5"/>
    <w:uiPriority w:val="9"/>
    <w:semiHidden/>
    <w:rsid w:val="00096AE0"/>
    <w:rPr>
      <w:rFonts w:ascii="Calibri" w:hAnsi="Calibri"/>
      <w:b/>
      <w:bCs/>
      <w:i/>
      <w:iCs/>
      <w:sz w:val="26"/>
      <w:szCs w:val="26"/>
    </w:rPr>
  </w:style>
  <w:style w:type="character" w:customStyle="1" w:styleId="Kop6Char">
    <w:name w:val="Kop 6 Char"/>
    <w:link w:val="Kop6"/>
    <w:uiPriority w:val="9"/>
    <w:semiHidden/>
    <w:rsid w:val="00096AE0"/>
    <w:rPr>
      <w:rFonts w:ascii="Calibri" w:hAnsi="Calibri"/>
      <w:b/>
      <w:bCs/>
      <w:sz w:val="22"/>
      <w:szCs w:val="22"/>
    </w:rPr>
  </w:style>
  <w:style w:type="character" w:customStyle="1" w:styleId="Kop7Char">
    <w:name w:val="Kop 7 Char"/>
    <w:link w:val="Kop7"/>
    <w:uiPriority w:val="9"/>
    <w:semiHidden/>
    <w:rsid w:val="00096AE0"/>
    <w:rPr>
      <w:rFonts w:ascii="Calibri" w:hAnsi="Calibri"/>
      <w:sz w:val="24"/>
      <w:szCs w:val="24"/>
    </w:rPr>
  </w:style>
  <w:style w:type="character" w:customStyle="1" w:styleId="Kop8Char">
    <w:name w:val="Kop 8 Char"/>
    <w:link w:val="Kop8"/>
    <w:uiPriority w:val="9"/>
    <w:semiHidden/>
    <w:rsid w:val="00096AE0"/>
    <w:rPr>
      <w:rFonts w:ascii="Calibri" w:hAnsi="Calibri"/>
      <w:i/>
      <w:iCs/>
      <w:sz w:val="24"/>
      <w:szCs w:val="24"/>
    </w:rPr>
  </w:style>
  <w:style w:type="character" w:customStyle="1" w:styleId="Kop9Char">
    <w:name w:val="Kop 9 Char"/>
    <w:link w:val="Kop9"/>
    <w:uiPriority w:val="9"/>
    <w:semiHidden/>
    <w:rsid w:val="00096AE0"/>
    <w:rPr>
      <w:rFonts w:ascii="Cambria" w:hAnsi="Cambria"/>
      <w:sz w:val="22"/>
      <w:szCs w:val="22"/>
    </w:rPr>
  </w:style>
  <w:style w:type="paragraph" w:styleId="Lijstalinea">
    <w:name w:val="List Paragraph"/>
    <w:basedOn w:val="Standaard"/>
    <w:uiPriority w:val="34"/>
    <w:qFormat/>
    <w:rsid w:val="00034B94"/>
    <w:pPr>
      <w:ind w:left="720"/>
      <w:contextualSpacing/>
    </w:pPr>
  </w:style>
  <w:style w:type="character" w:styleId="Verwijzingopmerking">
    <w:name w:val="annotation reference"/>
    <w:basedOn w:val="Standaardalinea-lettertype"/>
    <w:uiPriority w:val="99"/>
    <w:semiHidden/>
    <w:unhideWhenUsed/>
    <w:rsid w:val="00F13947"/>
    <w:rPr>
      <w:sz w:val="16"/>
      <w:szCs w:val="16"/>
    </w:rPr>
  </w:style>
  <w:style w:type="paragraph" w:styleId="Tekstopmerking">
    <w:name w:val="annotation text"/>
    <w:basedOn w:val="Standaard"/>
    <w:link w:val="TekstopmerkingChar"/>
    <w:uiPriority w:val="99"/>
    <w:semiHidden/>
    <w:unhideWhenUsed/>
    <w:rsid w:val="00F13947"/>
    <w:pPr>
      <w:spacing w:line="240" w:lineRule="auto"/>
    </w:pPr>
  </w:style>
  <w:style w:type="character" w:customStyle="1" w:styleId="TekstopmerkingChar">
    <w:name w:val="Tekst opmerking Char"/>
    <w:basedOn w:val="Standaardalinea-lettertype"/>
    <w:link w:val="Tekstopmerking"/>
    <w:uiPriority w:val="99"/>
    <w:semiHidden/>
    <w:rsid w:val="00F13947"/>
    <w:rPr>
      <w:rFonts w:ascii="Arial" w:hAnsi="Arial"/>
    </w:rPr>
  </w:style>
  <w:style w:type="paragraph" w:styleId="Onderwerpvanopmerking">
    <w:name w:val="annotation subject"/>
    <w:basedOn w:val="Tekstopmerking"/>
    <w:next w:val="Tekstopmerking"/>
    <w:link w:val="OnderwerpvanopmerkingChar"/>
    <w:uiPriority w:val="99"/>
    <w:semiHidden/>
    <w:unhideWhenUsed/>
    <w:rsid w:val="00F13947"/>
    <w:rPr>
      <w:b/>
      <w:bCs/>
    </w:rPr>
  </w:style>
  <w:style w:type="character" w:customStyle="1" w:styleId="OnderwerpvanopmerkingChar">
    <w:name w:val="Onderwerp van opmerking Char"/>
    <w:basedOn w:val="TekstopmerkingChar"/>
    <w:link w:val="Onderwerpvanopmerking"/>
    <w:uiPriority w:val="99"/>
    <w:semiHidden/>
    <w:rsid w:val="00F13947"/>
    <w:rPr>
      <w:rFonts w:ascii="Arial" w:hAnsi="Arial"/>
      <w:b/>
      <w:bCs/>
    </w:rPr>
  </w:style>
  <w:style w:type="table" w:styleId="Tabelraster">
    <w:name w:val="Table Grid"/>
    <w:basedOn w:val="Standaardtabel"/>
    <w:uiPriority w:val="59"/>
    <w:rsid w:val="000F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6270">
      <w:bodyDiv w:val="1"/>
      <w:marLeft w:val="0"/>
      <w:marRight w:val="0"/>
      <w:marTop w:val="0"/>
      <w:marBottom w:val="0"/>
      <w:divBdr>
        <w:top w:val="none" w:sz="0" w:space="0" w:color="auto"/>
        <w:left w:val="none" w:sz="0" w:space="0" w:color="auto"/>
        <w:bottom w:val="none" w:sz="0" w:space="0" w:color="auto"/>
        <w:right w:val="none" w:sz="0" w:space="0" w:color="auto"/>
      </w:divBdr>
    </w:div>
    <w:div w:id="20790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sjablonen\projectplan%20opmaak.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1F8B-5981-460E-97F1-F6F24C26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projectplan opmaak</Template>
  <TotalTime>0</TotalTime>
  <Pages>6</Pages>
  <Words>4766</Words>
  <Characters>26217</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Memo.dot</vt:lpstr>
    </vt:vector>
  </TitlesOfParts>
  <Company>Parity Solutions BV, Woerden</Company>
  <LinksUpToDate>false</LinksUpToDate>
  <CharactersWithSpaces>30922</CharactersWithSpaces>
  <SharedDoc>false</SharedDoc>
  <HLinks>
    <vt:vector size="54" baseType="variant">
      <vt:variant>
        <vt:i4>1245237</vt:i4>
      </vt:variant>
      <vt:variant>
        <vt:i4>50</vt:i4>
      </vt:variant>
      <vt:variant>
        <vt:i4>0</vt:i4>
      </vt:variant>
      <vt:variant>
        <vt:i4>5</vt:i4>
      </vt:variant>
      <vt:variant>
        <vt:lpwstr/>
      </vt:variant>
      <vt:variant>
        <vt:lpwstr>_Toc321120578</vt:lpwstr>
      </vt:variant>
      <vt:variant>
        <vt:i4>1245237</vt:i4>
      </vt:variant>
      <vt:variant>
        <vt:i4>44</vt:i4>
      </vt:variant>
      <vt:variant>
        <vt:i4>0</vt:i4>
      </vt:variant>
      <vt:variant>
        <vt:i4>5</vt:i4>
      </vt:variant>
      <vt:variant>
        <vt:lpwstr/>
      </vt:variant>
      <vt:variant>
        <vt:lpwstr>_Toc321120577</vt:lpwstr>
      </vt:variant>
      <vt:variant>
        <vt:i4>1245237</vt:i4>
      </vt:variant>
      <vt:variant>
        <vt:i4>38</vt:i4>
      </vt:variant>
      <vt:variant>
        <vt:i4>0</vt:i4>
      </vt:variant>
      <vt:variant>
        <vt:i4>5</vt:i4>
      </vt:variant>
      <vt:variant>
        <vt:lpwstr/>
      </vt:variant>
      <vt:variant>
        <vt:lpwstr>_Toc321120576</vt:lpwstr>
      </vt:variant>
      <vt:variant>
        <vt:i4>1245237</vt:i4>
      </vt:variant>
      <vt:variant>
        <vt:i4>32</vt:i4>
      </vt:variant>
      <vt:variant>
        <vt:i4>0</vt:i4>
      </vt:variant>
      <vt:variant>
        <vt:i4>5</vt:i4>
      </vt:variant>
      <vt:variant>
        <vt:lpwstr/>
      </vt:variant>
      <vt:variant>
        <vt:lpwstr>_Toc321120575</vt:lpwstr>
      </vt:variant>
      <vt:variant>
        <vt:i4>1245237</vt:i4>
      </vt:variant>
      <vt:variant>
        <vt:i4>26</vt:i4>
      </vt:variant>
      <vt:variant>
        <vt:i4>0</vt:i4>
      </vt:variant>
      <vt:variant>
        <vt:i4>5</vt:i4>
      </vt:variant>
      <vt:variant>
        <vt:lpwstr/>
      </vt:variant>
      <vt:variant>
        <vt:lpwstr>_Toc321120574</vt:lpwstr>
      </vt:variant>
      <vt:variant>
        <vt:i4>1245237</vt:i4>
      </vt:variant>
      <vt:variant>
        <vt:i4>20</vt:i4>
      </vt:variant>
      <vt:variant>
        <vt:i4>0</vt:i4>
      </vt:variant>
      <vt:variant>
        <vt:i4>5</vt:i4>
      </vt:variant>
      <vt:variant>
        <vt:lpwstr/>
      </vt:variant>
      <vt:variant>
        <vt:lpwstr>_Toc321120573</vt:lpwstr>
      </vt:variant>
      <vt:variant>
        <vt:i4>1245237</vt:i4>
      </vt:variant>
      <vt:variant>
        <vt:i4>14</vt:i4>
      </vt:variant>
      <vt:variant>
        <vt:i4>0</vt:i4>
      </vt:variant>
      <vt:variant>
        <vt:i4>5</vt:i4>
      </vt:variant>
      <vt:variant>
        <vt:lpwstr/>
      </vt:variant>
      <vt:variant>
        <vt:lpwstr>_Toc321120572</vt:lpwstr>
      </vt:variant>
      <vt:variant>
        <vt:i4>1245237</vt:i4>
      </vt:variant>
      <vt:variant>
        <vt:i4>8</vt:i4>
      </vt:variant>
      <vt:variant>
        <vt:i4>0</vt:i4>
      </vt:variant>
      <vt:variant>
        <vt:i4>5</vt:i4>
      </vt:variant>
      <vt:variant>
        <vt:lpwstr/>
      </vt:variant>
      <vt:variant>
        <vt:lpwstr>_Toc321120571</vt:lpwstr>
      </vt:variant>
      <vt:variant>
        <vt:i4>1245237</vt:i4>
      </vt:variant>
      <vt:variant>
        <vt:i4>2</vt:i4>
      </vt:variant>
      <vt:variant>
        <vt:i4>0</vt:i4>
      </vt:variant>
      <vt:variant>
        <vt:i4>5</vt:i4>
      </vt:variant>
      <vt:variant>
        <vt:lpwstr/>
      </vt:variant>
      <vt:variant>
        <vt:lpwstr>_Toc321120570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Memo.dot</dc:title>
  <dc:subject>Memosjabloon Nierstichting Huisstijltoepassing</dc:subject>
  <dc:creator>Edwin Dessens</dc:creator>
  <dc:description>Versie 4 d.d. woensdag 11 april 2001</dc:description>
  <cp:lastModifiedBy>Janine Rijksen</cp:lastModifiedBy>
  <cp:revision>2</cp:revision>
  <cp:lastPrinted>2018-11-13T12:28:00Z</cp:lastPrinted>
  <dcterms:created xsi:type="dcterms:W3CDTF">2023-02-06T15:45:00Z</dcterms:created>
  <dcterms:modified xsi:type="dcterms:W3CDTF">2023-02-06T15:45:00Z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Language">
    <vt:lpwstr>nl</vt:lpwstr>
  </property>
</Properties>
</file>