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7687" w14:textId="77777777" w:rsidR="00787746" w:rsidRDefault="00893904">
      <w:r>
        <w:tab/>
      </w:r>
      <w:r>
        <w:tab/>
      </w:r>
      <w:r>
        <w:tab/>
      </w:r>
      <w:r>
        <w:tab/>
      </w:r>
      <w:r>
        <w:tab/>
      </w:r>
      <w:r>
        <w:tab/>
      </w:r>
      <w:r>
        <w:tab/>
      </w:r>
      <w:r>
        <w:tab/>
      </w:r>
      <w:r>
        <w:tab/>
      </w:r>
      <w:r>
        <w:tab/>
      </w:r>
    </w:p>
    <w:p w14:paraId="18AEEB04" w14:textId="77777777" w:rsidR="00353B86" w:rsidRDefault="00353B86" w:rsidP="000319D9">
      <w:pPr>
        <w:rPr>
          <w:rFonts w:ascii="Calibri" w:hAnsi="Calibri"/>
          <w:b/>
          <w:sz w:val="24"/>
          <w:szCs w:val="24"/>
        </w:rPr>
      </w:pPr>
    </w:p>
    <w:p w14:paraId="097AC75B" w14:textId="77777777" w:rsidR="00353B86" w:rsidRDefault="00353B86" w:rsidP="000319D9">
      <w:pPr>
        <w:rPr>
          <w:rFonts w:ascii="Calibri" w:hAnsi="Calibri"/>
          <w:b/>
          <w:sz w:val="24"/>
          <w:szCs w:val="24"/>
        </w:rPr>
      </w:pPr>
    </w:p>
    <w:p w14:paraId="463EABCD" w14:textId="5C92EEE8" w:rsidR="00353B86" w:rsidRPr="00B6115F" w:rsidRDefault="00787746" w:rsidP="000319D9">
      <w:pPr>
        <w:rPr>
          <w:rFonts w:ascii="Calibri" w:hAnsi="Calibri"/>
          <w:i/>
          <w:sz w:val="22"/>
        </w:rPr>
      </w:pPr>
      <w:r w:rsidRPr="000F5E01">
        <w:rPr>
          <w:rFonts w:ascii="Calibri" w:hAnsi="Calibri"/>
          <w:b/>
          <w:sz w:val="28"/>
          <w:szCs w:val="28"/>
        </w:rPr>
        <w:t xml:space="preserve">Beleggingsstatuut </w:t>
      </w:r>
      <w:r w:rsidR="00D42607">
        <w:rPr>
          <w:rFonts w:ascii="Calibri" w:hAnsi="Calibri"/>
          <w:b/>
          <w:sz w:val="28"/>
          <w:szCs w:val="28"/>
        </w:rPr>
        <w:t>............</w:t>
      </w:r>
      <w:r w:rsidR="00393BDC" w:rsidRPr="000F5E01">
        <w:rPr>
          <w:rFonts w:ascii="Calibri" w:hAnsi="Calibri"/>
          <w:b/>
          <w:sz w:val="28"/>
          <w:szCs w:val="28"/>
        </w:rPr>
        <w:t xml:space="preserve"> </w:t>
      </w:r>
      <w:r w:rsidR="00353B86" w:rsidRPr="000F5E01">
        <w:rPr>
          <w:rFonts w:ascii="Calibri" w:hAnsi="Calibri"/>
          <w:b/>
          <w:sz w:val="28"/>
          <w:szCs w:val="28"/>
        </w:rPr>
        <w:t>20</w:t>
      </w:r>
      <w:r w:rsidR="00EE5416" w:rsidRPr="000F5E01">
        <w:rPr>
          <w:rFonts w:ascii="Calibri" w:hAnsi="Calibri"/>
          <w:b/>
          <w:sz w:val="28"/>
          <w:szCs w:val="28"/>
        </w:rPr>
        <w:t>20</w:t>
      </w:r>
      <w:r w:rsidR="00353B86" w:rsidRPr="000F5E01">
        <w:rPr>
          <w:rFonts w:ascii="Calibri" w:hAnsi="Calibri"/>
          <w:b/>
          <w:sz w:val="28"/>
          <w:szCs w:val="28"/>
        </w:rPr>
        <w:t xml:space="preserve"> </w:t>
      </w:r>
      <w:r w:rsidR="009532DF" w:rsidRPr="000F5E01">
        <w:rPr>
          <w:rFonts w:ascii="Calibri" w:hAnsi="Calibri"/>
          <w:b/>
          <w:sz w:val="28"/>
          <w:szCs w:val="28"/>
        </w:rPr>
        <w:br/>
      </w:r>
      <w:r w:rsidR="00353B86" w:rsidRPr="00B6115F">
        <w:rPr>
          <w:rFonts w:ascii="Calibri" w:hAnsi="Calibri"/>
          <w:i/>
          <w:sz w:val="22"/>
        </w:rPr>
        <w:t>(</w:t>
      </w:r>
      <w:r w:rsidR="00EE5416" w:rsidRPr="00B6115F">
        <w:rPr>
          <w:rFonts w:ascii="Calibri" w:hAnsi="Calibri"/>
          <w:i/>
          <w:sz w:val="22"/>
        </w:rPr>
        <w:t xml:space="preserve">Goedgekeurd door </w:t>
      </w:r>
      <w:r w:rsidR="00D42607">
        <w:rPr>
          <w:rFonts w:ascii="Calibri" w:hAnsi="Calibri"/>
          <w:i/>
          <w:sz w:val="22"/>
        </w:rPr>
        <w:t xml:space="preserve">….., </w:t>
      </w:r>
      <w:proofErr w:type="spellStart"/>
      <w:r w:rsidR="00D42607">
        <w:rPr>
          <w:rFonts w:ascii="Calibri" w:hAnsi="Calibri"/>
          <w:i/>
          <w:sz w:val="22"/>
        </w:rPr>
        <w:t>dd</w:t>
      </w:r>
      <w:proofErr w:type="spellEnd"/>
      <w:r w:rsidR="00D42607">
        <w:rPr>
          <w:rFonts w:ascii="Calibri" w:hAnsi="Calibri"/>
          <w:i/>
          <w:sz w:val="22"/>
        </w:rPr>
        <w:t>…..</w:t>
      </w:r>
      <w:r w:rsidR="00353B86" w:rsidRPr="00B6115F">
        <w:rPr>
          <w:rFonts w:ascii="Calibri" w:hAnsi="Calibri"/>
          <w:i/>
          <w:sz w:val="22"/>
        </w:rPr>
        <w:t>)</w:t>
      </w:r>
    </w:p>
    <w:p w14:paraId="6D51A4B9" w14:textId="77777777" w:rsidR="00787746" w:rsidRPr="007B7F5B" w:rsidRDefault="00787746" w:rsidP="000319D9">
      <w:pPr>
        <w:rPr>
          <w:rFonts w:ascii="Calibri" w:hAnsi="Calibri"/>
          <w:b/>
          <w:iCs/>
          <w:sz w:val="22"/>
          <w:lang w:val="nl"/>
        </w:rPr>
      </w:pPr>
    </w:p>
    <w:p w14:paraId="70293175" w14:textId="3E187810" w:rsidR="00787746" w:rsidRPr="007B7F5B" w:rsidRDefault="00787746" w:rsidP="000319D9">
      <w:pPr>
        <w:rPr>
          <w:rFonts w:ascii="Calibri" w:hAnsi="Calibri"/>
          <w:b/>
          <w:iCs/>
          <w:sz w:val="22"/>
          <w:lang w:val="nl"/>
        </w:rPr>
      </w:pPr>
      <w:r w:rsidRPr="007B7F5B">
        <w:rPr>
          <w:rFonts w:ascii="Calibri" w:hAnsi="Calibri"/>
          <w:b/>
          <w:iCs/>
          <w:sz w:val="22"/>
          <w:lang w:val="nl"/>
        </w:rPr>
        <w:t>1</w:t>
      </w:r>
      <w:r w:rsidR="002228D0">
        <w:rPr>
          <w:rFonts w:ascii="Calibri" w:hAnsi="Calibri"/>
          <w:b/>
          <w:iCs/>
          <w:sz w:val="22"/>
          <w:lang w:val="nl"/>
        </w:rPr>
        <w:t>.</w:t>
      </w:r>
      <w:r w:rsidRPr="007B7F5B">
        <w:rPr>
          <w:rFonts w:ascii="Calibri" w:hAnsi="Calibri"/>
          <w:b/>
          <w:iCs/>
          <w:sz w:val="22"/>
          <w:lang w:val="nl"/>
        </w:rPr>
        <w:t xml:space="preserve"> Inleiding</w:t>
      </w:r>
    </w:p>
    <w:p w14:paraId="775B5734" w14:textId="77777777" w:rsidR="00787746" w:rsidRPr="007B7F5B" w:rsidRDefault="00787746">
      <w:pPr>
        <w:rPr>
          <w:rFonts w:ascii="Calibri" w:hAnsi="Calibri"/>
          <w:sz w:val="22"/>
        </w:rPr>
      </w:pPr>
    </w:p>
    <w:p w14:paraId="062D4FEB" w14:textId="10AD4BCB" w:rsidR="00353B86" w:rsidRDefault="00787746" w:rsidP="00353B86">
      <w:pPr>
        <w:rPr>
          <w:rFonts w:ascii="Calibri" w:hAnsi="Calibri"/>
          <w:color w:val="000000"/>
          <w:sz w:val="22"/>
        </w:rPr>
      </w:pPr>
      <w:r w:rsidRPr="007B7F5B">
        <w:rPr>
          <w:rFonts w:ascii="Calibri" w:hAnsi="Calibri"/>
          <w:color w:val="000000"/>
          <w:sz w:val="22"/>
        </w:rPr>
        <w:t xml:space="preserve">Het Beleggingsstatuut heeft tot doel een formeel kader </w:t>
      </w:r>
      <w:r w:rsidR="009532DF">
        <w:rPr>
          <w:rFonts w:ascii="Calibri" w:hAnsi="Calibri"/>
          <w:color w:val="000000"/>
          <w:sz w:val="22"/>
        </w:rPr>
        <w:t xml:space="preserve">van randvoorwaarden </w:t>
      </w:r>
      <w:r w:rsidRPr="007B7F5B">
        <w:rPr>
          <w:rFonts w:ascii="Calibri" w:hAnsi="Calibri"/>
          <w:color w:val="000000"/>
          <w:sz w:val="22"/>
        </w:rPr>
        <w:t xml:space="preserve">te </w:t>
      </w:r>
      <w:r w:rsidR="009532DF">
        <w:rPr>
          <w:rFonts w:ascii="Calibri" w:hAnsi="Calibri"/>
          <w:color w:val="000000"/>
          <w:sz w:val="22"/>
        </w:rPr>
        <w:t>stellen</w:t>
      </w:r>
      <w:r w:rsidR="009532DF" w:rsidRPr="007B7F5B">
        <w:rPr>
          <w:rFonts w:ascii="Calibri" w:hAnsi="Calibri"/>
          <w:color w:val="000000"/>
          <w:sz w:val="22"/>
        </w:rPr>
        <w:t xml:space="preserve"> </w:t>
      </w:r>
      <w:r w:rsidRPr="007B7F5B">
        <w:rPr>
          <w:rFonts w:ascii="Calibri" w:hAnsi="Calibri"/>
          <w:color w:val="000000"/>
          <w:sz w:val="22"/>
        </w:rPr>
        <w:t xml:space="preserve">waarbinnen de beleggingsactiviteiten van de </w:t>
      </w:r>
      <w:r w:rsidR="00D42607">
        <w:rPr>
          <w:rFonts w:ascii="Calibri" w:hAnsi="Calibri"/>
          <w:color w:val="000000"/>
          <w:sz w:val="22"/>
        </w:rPr>
        <w:t>............</w:t>
      </w:r>
      <w:r w:rsidRPr="007B7F5B">
        <w:rPr>
          <w:rFonts w:ascii="Calibri" w:hAnsi="Calibri"/>
          <w:color w:val="000000"/>
          <w:sz w:val="22"/>
        </w:rPr>
        <w:t xml:space="preserve"> dienen plaats te vinden. </w:t>
      </w:r>
      <w:r w:rsidR="001471FB" w:rsidRPr="001471FB">
        <w:rPr>
          <w:rFonts w:ascii="Calibri" w:hAnsi="Calibri"/>
          <w:color w:val="000000"/>
          <w:sz w:val="22"/>
        </w:rPr>
        <w:t>Het statuut is een schriftelijke weergave van een meerjarig</w:t>
      </w:r>
      <w:r w:rsidR="001471FB">
        <w:rPr>
          <w:rFonts w:ascii="Calibri" w:hAnsi="Calibri"/>
          <w:color w:val="000000"/>
          <w:sz w:val="22"/>
        </w:rPr>
        <w:t xml:space="preserve"> s</w:t>
      </w:r>
      <w:r w:rsidR="001471FB" w:rsidRPr="001471FB">
        <w:rPr>
          <w:rFonts w:ascii="Calibri" w:hAnsi="Calibri"/>
          <w:color w:val="000000"/>
          <w:sz w:val="22"/>
        </w:rPr>
        <w:t xml:space="preserve">trategisch beleggingsbeleid voor het beheer van het te beleggen vermogen van </w:t>
      </w:r>
      <w:r w:rsidR="001471FB">
        <w:rPr>
          <w:rFonts w:ascii="Calibri" w:hAnsi="Calibri"/>
          <w:color w:val="000000"/>
          <w:sz w:val="22"/>
        </w:rPr>
        <w:t xml:space="preserve">de </w:t>
      </w:r>
      <w:r w:rsidR="00D42607">
        <w:rPr>
          <w:rFonts w:ascii="Calibri" w:hAnsi="Calibri"/>
          <w:color w:val="000000"/>
          <w:sz w:val="22"/>
        </w:rPr>
        <w:t>............</w:t>
      </w:r>
      <w:r w:rsidR="001471FB">
        <w:rPr>
          <w:rFonts w:ascii="Calibri" w:hAnsi="Calibri"/>
          <w:color w:val="000000"/>
          <w:sz w:val="22"/>
        </w:rPr>
        <w:t xml:space="preserve">. </w:t>
      </w:r>
      <w:r w:rsidRPr="007B7F5B">
        <w:rPr>
          <w:rFonts w:ascii="Calibri" w:hAnsi="Calibri"/>
          <w:color w:val="000000"/>
          <w:sz w:val="22"/>
        </w:rPr>
        <w:t>Het</w:t>
      </w:r>
      <w:r w:rsidR="009532DF">
        <w:rPr>
          <w:rFonts w:ascii="Calibri" w:hAnsi="Calibri"/>
          <w:color w:val="000000"/>
          <w:sz w:val="22"/>
        </w:rPr>
        <w:t xml:space="preserve"> beleggingsstatuut vormt tevens het kader voor verantwoording van het beleggingsbeleid door het </w:t>
      </w:r>
      <w:r w:rsidRPr="007B7F5B">
        <w:rPr>
          <w:rFonts w:ascii="Calibri" w:hAnsi="Calibri"/>
          <w:color w:val="000000"/>
          <w:sz w:val="22"/>
        </w:rPr>
        <w:t xml:space="preserve">bestuur van de </w:t>
      </w:r>
      <w:r w:rsidR="00D42607">
        <w:rPr>
          <w:rFonts w:ascii="Calibri" w:hAnsi="Calibri"/>
          <w:color w:val="000000"/>
          <w:sz w:val="22"/>
        </w:rPr>
        <w:t>............</w:t>
      </w:r>
      <w:r w:rsidR="00CA664F">
        <w:rPr>
          <w:rFonts w:ascii="Calibri" w:hAnsi="Calibri"/>
          <w:color w:val="000000"/>
          <w:sz w:val="22"/>
        </w:rPr>
        <w:t xml:space="preserve"> </w:t>
      </w:r>
      <w:r w:rsidRPr="007B7F5B">
        <w:rPr>
          <w:rFonts w:ascii="Calibri" w:hAnsi="Calibri"/>
          <w:color w:val="000000"/>
          <w:sz w:val="22"/>
        </w:rPr>
        <w:t>is aan de stakeholders</w:t>
      </w:r>
      <w:r w:rsidR="009532DF">
        <w:rPr>
          <w:rFonts w:ascii="Calibri" w:hAnsi="Calibri"/>
          <w:color w:val="000000"/>
          <w:sz w:val="22"/>
        </w:rPr>
        <w:t>.</w:t>
      </w:r>
      <w:r w:rsidR="009532DF">
        <w:rPr>
          <w:rFonts w:ascii="Calibri" w:hAnsi="Calibri"/>
          <w:color w:val="000000"/>
          <w:sz w:val="22"/>
        </w:rPr>
        <w:br/>
      </w:r>
      <w:r w:rsidRPr="007B7F5B">
        <w:rPr>
          <w:rFonts w:ascii="Calibri" w:hAnsi="Calibri"/>
          <w:color w:val="000000"/>
          <w:sz w:val="22"/>
        </w:rPr>
        <w:t xml:space="preserve"> </w:t>
      </w:r>
    </w:p>
    <w:p w14:paraId="135F9EC0" w14:textId="5EBCD762" w:rsidR="00787746" w:rsidRPr="007B7F5B" w:rsidRDefault="00CA664F">
      <w:pPr>
        <w:rPr>
          <w:rFonts w:ascii="Calibri" w:hAnsi="Calibri"/>
          <w:sz w:val="22"/>
        </w:rPr>
      </w:pPr>
      <w:r>
        <w:rPr>
          <w:rFonts w:ascii="Calibri" w:hAnsi="Calibri"/>
          <w:color w:val="000000"/>
          <w:sz w:val="22"/>
        </w:rPr>
        <w:t>D</w:t>
      </w:r>
      <w:r w:rsidR="00787746" w:rsidRPr="007B7F5B">
        <w:rPr>
          <w:rFonts w:ascii="Calibri" w:hAnsi="Calibri"/>
          <w:color w:val="000000"/>
          <w:sz w:val="22"/>
        </w:rPr>
        <w:t xml:space="preserve">it statuut </w:t>
      </w:r>
      <w:r w:rsidR="008E30C8">
        <w:rPr>
          <w:rFonts w:ascii="Calibri" w:hAnsi="Calibri"/>
          <w:color w:val="000000"/>
          <w:sz w:val="22"/>
        </w:rPr>
        <w:t xml:space="preserve">geldt </w:t>
      </w:r>
      <w:r w:rsidR="001468FA">
        <w:rPr>
          <w:rFonts w:ascii="Calibri" w:hAnsi="Calibri"/>
          <w:color w:val="000000"/>
          <w:sz w:val="22"/>
        </w:rPr>
        <w:t>als richtlijn voor de externe vermogensbeheerder</w:t>
      </w:r>
      <w:r w:rsidR="00F7343C">
        <w:rPr>
          <w:rFonts w:ascii="Calibri" w:hAnsi="Calibri"/>
          <w:color w:val="000000"/>
          <w:sz w:val="22"/>
        </w:rPr>
        <w:t xml:space="preserve"> (‘Beheerder’)</w:t>
      </w:r>
      <w:r w:rsidR="001468FA">
        <w:rPr>
          <w:rFonts w:ascii="Calibri" w:hAnsi="Calibri"/>
          <w:color w:val="000000"/>
          <w:sz w:val="22"/>
        </w:rPr>
        <w:t xml:space="preserve"> en </w:t>
      </w:r>
      <w:r w:rsidR="008E30C8">
        <w:rPr>
          <w:rFonts w:ascii="Calibri" w:hAnsi="Calibri"/>
          <w:color w:val="000000"/>
          <w:sz w:val="22"/>
        </w:rPr>
        <w:t xml:space="preserve">is </w:t>
      </w:r>
      <w:r w:rsidR="00A138B5">
        <w:rPr>
          <w:rFonts w:ascii="Calibri" w:hAnsi="Calibri"/>
          <w:color w:val="000000"/>
          <w:sz w:val="22"/>
        </w:rPr>
        <w:t xml:space="preserve">beschikbaar </w:t>
      </w:r>
      <w:r w:rsidR="00787746" w:rsidRPr="007B7F5B">
        <w:rPr>
          <w:rFonts w:ascii="Calibri" w:hAnsi="Calibri"/>
          <w:color w:val="000000"/>
          <w:sz w:val="22"/>
        </w:rPr>
        <w:t xml:space="preserve">voor iedereen </w:t>
      </w:r>
      <w:r w:rsidR="001468FA">
        <w:rPr>
          <w:rFonts w:ascii="Calibri" w:hAnsi="Calibri"/>
          <w:color w:val="000000"/>
          <w:sz w:val="22"/>
        </w:rPr>
        <w:t xml:space="preserve">die </w:t>
      </w:r>
      <w:r w:rsidR="00A138B5">
        <w:rPr>
          <w:rFonts w:ascii="Calibri" w:hAnsi="Calibri"/>
          <w:color w:val="000000"/>
          <w:sz w:val="22"/>
        </w:rPr>
        <w:t xml:space="preserve">inzage </w:t>
      </w:r>
      <w:r w:rsidR="001468FA">
        <w:rPr>
          <w:rFonts w:ascii="Calibri" w:hAnsi="Calibri"/>
          <w:color w:val="000000"/>
          <w:sz w:val="22"/>
        </w:rPr>
        <w:t>wenst in</w:t>
      </w:r>
      <w:r w:rsidR="00787746" w:rsidRPr="007B7F5B">
        <w:rPr>
          <w:rFonts w:ascii="Calibri" w:hAnsi="Calibri"/>
          <w:color w:val="000000"/>
          <w:sz w:val="22"/>
        </w:rPr>
        <w:t xml:space="preserve"> het beleid van </w:t>
      </w:r>
      <w:r w:rsidR="009532DF">
        <w:rPr>
          <w:rFonts w:ascii="Calibri" w:hAnsi="Calibri"/>
          <w:color w:val="000000"/>
          <w:sz w:val="22"/>
        </w:rPr>
        <w:t>de</w:t>
      </w:r>
      <w:r w:rsidR="00787746" w:rsidRPr="007B7F5B">
        <w:rPr>
          <w:rFonts w:ascii="Calibri" w:hAnsi="Calibri"/>
          <w:color w:val="000000"/>
          <w:sz w:val="22"/>
        </w:rPr>
        <w:t xml:space="preserve"> </w:t>
      </w:r>
      <w:r w:rsidR="00D42607">
        <w:rPr>
          <w:rFonts w:ascii="Calibri" w:hAnsi="Calibri"/>
          <w:color w:val="000000"/>
          <w:sz w:val="22"/>
        </w:rPr>
        <w:t>............</w:t>
      </w:r>
      <w:r w:rsidR="00787746" w:rsidRPr="007B7F5B">
        <w:rPr>
          <w:rFonts w:ascii="Calibri" w:hAnsi="Calibri"/>
          <w:color w:val="000000"/>
          <w:sz w:val="22"/>
        </w:rPr>
        <w:t xml:space="preserve"> ten aanzien van het beheer van het vermogen.</w:t>
      </w:r>
    </w:p>
    <w:p w14:paraId="5659DDF3" w14:textId="77777777" w:rsidR="00787746" w:rsidRDefault="00787746">
      <w:pPr>
        <w:rPr>
          <w:rFonts w:ascii="Calibri" w:hAnsi="Calibri"/>
          <w:sz w:val="22"/>
        </w:rPr>
      </w:pPr>
    </w:p>
    <w:p w14:paraId="50A4A7F1" w14:textId="6C8BCC1A" w:rsidR="00353B86" w:rsidRDefault="00353B86">
      <w:pPr>
        <w:rPr>
          <w:rFonts w:ascii="Calibri" w:hAnsi="Calibri"/>
          <w:sz w:val="22"/>
        </w:rPr>
      </w:pPr>
      <w:r>
        <w:rPr>
          <w:rFonts w:ascii="Calibri" w:hAnsi="Calibri"/>
          <w:sz w:val="22"/>
        </w:rPr>
        <w:t>D</w:t>
      </w:r>
      <w:r w:rsidR="002679CD">
        <w:rPr>
          <w:rFonts w:ascii="Calibri" w:hAnsi="Calibri"/>
          <w:sz w:val="22"/>
        </w:rPr>
        <w:t xml:space="preserve">eze versie van het </w:t>
      </w:r>
      <w:r>
        <w:rPr>
          <w:rFonts w:ascii="Calibri" w:hAnsi="Calibri"/>
          <w:sz w:val="22"/>
        </w:rPr>
        <w:t xml:space="preserve">statuut vervangt het eerdere beleggingsstatuut </w:t>
      </w:r>
      <w:r w:rsidR="000F5E01">
        <w:rPr>
          <w:rFonts w:ascii="Calibri" w:hAnsi="Calibri"/>
          <w:sz w:val="22"/>
        </w:rPr>
        <w:t xml:space="preserve">goedgekeurd door de </w:t>
      </w:r>
      <w:r w:rsidR="00253CCB">
        <w:rPr>
          <w:rFonts w:ascii="Calibri" w:hAnsi="Calibri"/>
          <w:sz w:val="22"/>
        </w:rPr>
        <w:t>R</w:t>
      </w:r>
      <w:r w:rsidR="000F5E01">
        <w:rPr>
          <w:rFonts w:ascii="Calibri" w:hAnsi="Calibri"/>
          <w:sz w:val="22"/>
        </w:rPr>
        <w:t xml:space="preserve">aad van Toezicht op </w:t>
      </w:r>
      <w:r w:rsidR="005060F1">
        <w:rPr>
          <w:rFonts w:ascii="Calibri" w:hAnsi="Calibri"/>
          <w:sz w:val="22"/>
        </w:rPr>
        <w:t>…….</w:t>
      </w:r>
      <w:r>
        <w:rPr>
          <w:rFonts w:ascii="Calibri" w:hAnsi="Calibri"/>
          <w:sz w:val="22"/>
        </w:rPr>
        <w:t xml:space="preserve">. </w:t>
      </w:r>
    </w:p>
    <w:p w14:paraId="57CB9B45" w14:textId="77777777" w:rsidR="00353B86" w:rsidRPr="007B7F5B" w:rsidRDefault="00353B86">
      <w:pPr>
        <w:rPr>
          <w:rFonts w:ascii="Calibri" w:hAnsi="Calibri"/>
          <w:sz w:val="22"/>
        </w:rPr>
      </w:pPr>
    </w:p>
    <w:p w14:paraId="39109449" w14:textId="0FE0CCAB" w:rsidR="00787746" w:rsidRPr="007B7F5B" w:rsidRDefault="002228D0" w:rsidP="000319D9">
      <w:pPr>
        <w:rPr>
          <w:rFonts w:ascii="Calibri" w:hAnsi="Calibri"/>
          <w:b/>
          <w:bCs/>
          <w:iCs/>
          <w:sz w:val="22"/>
          <w:lang w:val="nl"/>
        </w:rPr>
      </w:pPr>
      <w:r>
        <w:rPr>
          <w:rFonts w:ascii="Calibri" w:hAnsi="Calibri"/>
          <w:b/>
          <w:bCs/>
          <w:iCs/>
          <w:sz w:val="22"/>
          <w:lang w:val="nl"/>
        </w:rPr>
        <w:t>2.</w:t>
      </w:r>
      <w:r w:rsidR="009A23A5">
        <w:rPr>
          <w:rFonts w:ascii="Calibri" w:hAnsi="Calibri"/>
          <w:b/>
          <w:bCs/>
          <w:iCs/>
          <w:sz w:val="22"/>
          <w:lang w:val="nl"/>
        </w:rPr>
        <w:t xml:space="preserve"> </w:t>
      </w:r>
      <w:r w:rsidR="00787746" w:rsidRPr="007B7F5B">
        <w:rPr>
          <w:rFonts w:ascii="Calibri" w:hAnsi="Calibri"/>
          <w:b/>
          <w:bCs/>
          <w:iCs/>
          <w:sz w:val="22"/>
          <w:lang w:val="nl"/>
        </w:rPr>
        <w:t>Doelstelling en</w:t>
      </w:r>
      <w:r w:rsidR="00BC2305">
        <w:rPr>
          <w:rFonts w:ascii="Calibri" w:hAnsi="Calibri"/>
          <w:b/>
          <w:bCs/>
          <w:iCs/>
          <w:sz w:val="22"/>
          <w:lang w:val="nl"/>
        </w:rPr>
        <w:t xml:space="preserve"> r</w:t>
      </w:r>
      <w:r w:rsidR="00787746" w:rsidRPr="007B7F5B">
        <w:rPr>
          <w:rFonts w:ascii="Calibri" w:hAnsi="Calibri"/>
          <w:b/>
          <w:bCs/>
          <w:iCs/>
          <w:sz w:val="22"/>
          <w:lang w:val="nl"/>
        </w:rPr>
        <w:t>andvoorwaarden</w:t>
      </w:r>
    </w:p>
    <w:p w14:paraId="4C1595C7" w14:textId="77777777" w:rsidR="00787746" w:rsidRPr="007B7F5B" w:rsidRDefault="00787746" w:rsidP="000319D9">
      <w:pPr>
        <w:rPr>
          <w:rFonts w:ascii="Calibri" w:hAnsi="Calibri"/>
          <w:iCs/>
          <w:sz w:val="22"/>
        </w:rPr>
      </w:pPr>
    </w:p>
    <w:p w14:paraId="731FC44A" w14:textId="45623BF3" w:rsidR="00787746" w:rsidRPr="007B7F5B" w:rsidRDefault="00787746" w:rsidP="00F5511C">
      <w:pPr>
        <w:rPr>
          <w:rFonts w:ascii="Calibri" w:hAnsi="Calibri"/>
          <w:b/>
          <w:sz w:val="22"/>
        </w:rPr>
      </w:pPr>
      <w:r w:rsidRPr="007B7F5B">
        <w:rPr>
          <w:rFonts w:ascii="Calibri" w:hAnsi="Calibri"/>
          <w:b/>
          <w:sz w:val="22"/>
        </w:rPr>
        <w:t>I</w:t>
      </w:r>
      <w:r w:rsidRPr="007B7F5B">
        <w:rPr>
          <w:rFonts w:ascii="Calibri" w:hAnsi="Calibri"/>
          <w:b/>
          <w:sz w:val="22"/>
        </w:rPr>
        <w:tab/>
        <w:t xml:space="preserve">Algemene doelstelling van </w:t>
      </w:r>
      <w:r w:rsidR="005302CC">
        <w:rPr>
          <w:rFonts w:ascii="Calibri" w:hAnsi="Calibri"/>
          <w:b/>
          <w:sz w:val="22"/>
        </w:rPr>
        <w:t xml:space="preserve">de </w:t>
      </w:r>
      <w:r w:rsidR="00D42607">
        <w:rPr>
          <w:rFonts w:ascii="Calibri" w:hAnsi="Calibri"/>
          <w:b/>
          <w:sz w:val="22"/>
        </w:rPr>
        <w:t>............</w:t>
      </w:r>
    </w:p>
    <w:p w14:paraId="24BA3249" w14:textId="0C3529CC" w:rsidR="00D42607" w:rsidRPr="00ED5AE5" w:rsidRDefault="007D3922" w:rsidP="00D42607">
      <w:pPr>
        <w:suppressAutoHyphens/>
        <w:spacing w:line="240" w:lineRule="atLeast"/>
        <w:ind w:left="708"/>
        <w:rPr>
          <w:rFonts w:ascii="Calibri" w:hAnsi="Calibri"/>
          <w:sz w:val="22"/>
        </w:rPr>
      </w:pPr>
      <w:r w:rsidRPr="00ED5AE5">
        <w:rPr>
          <w:rFonts w:ascii="Calibri" w:hAnsi="Calibri"/>
          <w:sz w:val="22"/>
        </w:rPr>
        <w:t xml:space="preserve">De </w:t>
      </w:r>
      <w:r w:rsidR="00D42607">
        <w:rPr>
          <w:rFonts w:ascii="Calibri" w:hAnsi="Calibri"/>
          <w:sz w:val="22"/>
        </w:rPr>
        <w:t>............</w:t>
      </w:r>
      <w:r w:rsidRPr="00ED5AE5">
        <w:rPr>
          <w:rFonts w:ascii="Calibri" w:hAnsi="Calibri"/>
          <w:sz w:val="22"/>
        </w:rPr>
        <w:t xml:space="preserve"> is een </w:t>
      </w:r>
      <w:r w:rsidR="00D42607">
        <w:rPr>
          <w:rFonts w:ascii="Calibri" w:hAnsi="Calibri"/>
          <w:sz w:val="22"/>
        </w:rPr>
        <w:t>…..</w:t>
      </w:r>
      <w:r w:rsidRPr="00ED5AE5">
        <w:rPr>
          <w:rFonts w:ascii="Calibri" w:hAnsi="Calibri"/>
          <w:sz w:val="22"/>
        </w:rPr>
        <w:t>organisatie</w:t>
      </w:r>
      <w:r w:rsidR="00D42607">
        <w:rPr>
          <w:rFonts w:ascii="Calibri" w:hAnsi="Calibri"/>
          <w:sz w:val="22"/>
        </w:rPr>
        <w:t>……………</w:t>
      </w:r>
    </w:p>
    <w:p w14:paraId="059FCA59" w14:textId="4FE5A691" w:rsidR="007D3922" w:rsidRPr="00ED5AE5" w:rsidRDefault="007D3922" w:rsidP="007D3922">
      <w:pPr>
        <w:numPr>
          <w:ilvl w:val="0"/>
          <w:numId w:val="13"/>
        </w:numPr>
        <w:suppressAutoHyphens/>
        <w:spacing w:line="240" w:lineRule="atLeast"/>
        <w:rPr>
          <w:rFonts w:ascii="Calibri" w:hAnsi="Calibri"/>
          <w:sz w:val="22"/>
        </w:rPr>
      </w:pPr>
      <w:r w:rsidRPr="00ED5AE5">
        <w:rPr>
          <w:rFonts w:ascii="Calibri" w:hAnsi="Calibri"/>
          <w:sz w:val="22"/>
        </w:rPr>
        <w:t>.</w:t>
      </w:r>
      <w:r>
        <w:rPr>
          <w:rFonts w:ascii="Calibri" w:hAnsi="Calibri"/>
          <w:sz w:val="22"/>
        </w:rPr>
        <w:t xml:space="preserve"> </w:t>
      </w:r>
    </w:p>
    <w:p w14:paraId="5E226A88" w14:textId="77777777" w:rsidR="00787746" w:rsidRPr="007B7F5B" w:rsidRDefault="00787746" w:rsidP="000319D9">
      <w:pPr>
        <w:rPr>
          <w:rFonts w:ascii="Calibri" w:hAnsi="Calibri"/>
          <w:iCs/>
          <w:sz w:val="22"/>
        </w:rPr>
      </w:pPr>
    </w:p>
    <w:p w14:paraId="695DD811" w14:textId="77777777" w:rsidR="00787746" w:rsidRPr="007B7F5B" w:rsidRDefault="00787746" w:rsidP="00F5511C">
      <w:pPr>
        <w:rPr>
          <w:rFonts w:ascii="Calibri" w:hAnsi="Calibri"/>
          <w:b/>
          <w:sz w:val="22"/>
        </w:rPr>
      </w:pPr>
      <w:r w:rsidRPr="007B7F5B">
        <w:rPr>
          <w:rFonts w:ascii="Calibri" w:hAnsi="Calibri"/>
          <w:b/>
          <w:sz w:val="22"/>
        </w:rPr>
        <w:t>II</w:t>
      </w:r>
      <w:r w:rsidRPr="007B7F5B">
        <w:rPr>
          <w:rFonts w:ascii="Calibri" w:hAnsi="Calibri"/>
          <w:b/>
          <w:sz w:val="22"/>
        </w:rPr>
        <w:tab/>
        <w:t>Doelstellingen inzake het beleggingsbeleid</w:t>
      </w:r>
    </w:p>
    <w:p w14:paraId="5036FD42" w14:textId="77777777" w:rsidR="00787746" w:rsidRPr="007B7F5B" w:rsidRDefault="00787746" w:rsidP="004C06F0">
      <w:pPr>
        <w:numPr>
          <w:ilvl w:val="0"/>
          <w:numId w:val="14"/>
        </w:numPr>
        <w:rPr>
          <w:rFonts w:ascii="Calibri" w:hAnsi="Calibri"/>
          <w:iCs/>
          <w:sz w:val="22"/>
        </w:rPr>
      </w:pPr>
      <w:r w:rsidRPr="007B7F5B">
        <w:rPr>
          <w:rFonts w:ascii="Calibri" w:hAnsi="Calibri"/>
          <w:iCs/>
          <w:sz w:val="22"/>
        </w:rPr>
        <w:t>Doel van het beleggen is</w:t>
      </w:r>
      <w:r w:rsidR="007D3922">
        <w:rPr>
          <w:rFonts w:ascii="Calibri" w:hAnsi="Calibri"/>
          <w:iCs/>
          <w:sz w:val="22"/>
        </w:rPr>
        <w:t xml:space="preserve"> </w:t>
      </w:r>
      <w:r w:rsidR="00574E5B">
        <w:rPr>
          <w:rFonts w:ascii="Calibri" w:hAnsi="Calibri"/>
          <w:iCs/>
          <w:sz w:val="22"/>
        </w:rPr>
        <w:t>het binnen randvoorwaarden maximaliseren van de inkomsten uit beleggingen.</w:t>
      </w:r>
    </w:p>
    <w:p w14:paraId="689EBB32" w14:textId="77777777" w:rsidR="00787746" w:rsidRPr="007B7F5B" w:rsidRDefault="00787746" w:rsidP="00436FBB">
      <w:pPr>
        <w:ind w:left="357"/>
        <w:rPr>
          <w:rFonts w:ascii="Calibri" w:hAnsi="Calibri"/>
          <w:iCs/>
          <w:sz w:val="22"/>
        </w:rPr>
      </w:pPr>
    </w:p>
    <w:p w14:paraId="2C804E6C" w14:textId="77777777" w:rsidR="00787746" w:rsidRPr="003645B5" w:rsidRDefault="00787746" w:rsidP="006037EF">
      <w:pPr>
        <w:ind w:left="357" w:firstLine="351"/>
        <w:rPr>
          <w:rFonts w:ascii="Calibri" w:hAnsi="Calibri"/>
          <w:b/>
          <w:iCs/>
          <w:sz w:val="22"/>
        </w:rPr>
      </w:pPr>
      <w:r w:rsidRPr="003645B5">
        <w:rPr>
          <w:rFonts w:ascii="Calibri" w:hAnsi="Calibri"/>
          <w:b/>
          <w:iCs/>
          <w:sz w:val="22"/>
        </w:rPr>
        <w:t>Hierbij gelden de volgende randvoorwaarden:</w:t>
      </w:r>
    </w:p>
    <w:p w14:paraId="514D563B" w14:textId="77777777" w:rsidR="00787746" w:rsidRPr="007B7F5B" w:rsidRDefault="00787746" w:rsidP="004C06F0">
      <w:pPr>
        <w:numPr>
          <w:ilvl w:val="0"/>
          <w:numId w:val="15"/>
        </w:numPr>
        <w:rPr>
          <w:rFonts w:ascii="Calibri" w:hAnsi="Calibri"/>
          <w:iCs/>
          <w:sz w:val="22"/>
        </w:rPr>
      </w:pPr>
      <w:r w:rsidRPr="007B7F5B">
        <w:rPr>
          <w:rFonts w:ascii="Calibri" w:hAnsi="Calibri"/>
          <w:iCs/>
          <w:sz w:val="22"/>
        </w:rPr>
        <w:t xml:space="preserve">Er </w:t>
      </w:r>
      <w:r w:rsidR="004C06F0">
        <w:rPr>
          <w:rFonts w:ascii="Calibri" w:hAnsi="Calibri"/>
          <w:iCs/>
          <w:sz w:val="22"/>
        </w:rPr>
        <w:t>dient duurzaam belegd te worden;</w:t>
      </w:r>
    </w:p>
    <w:p w14:paraId="2389C024" w14:textId="70B2EF52" w:rsidR="0026033D" w:rsidRPr="00340A0C" w:rsidRDefault="0026033D" w:rsidP="0026033D">
      <w:pPr>
        <w:pStyle w:val="Tekstopmerking"/>
        <w:numPr>
          <w:ilvl w:val="0"/>
          <w:numId w:val="15"/>
        </w:numPr>
      </w:pPr>
      <w:r w:rsidRPr="00340A0C">
        <w:t>Er wordt gestreefd naar behoud van het vermogen op langere</w:t>
      </w:r>
      <w:r w:rsidR="000A7FA8" w:rsidRPr="00340A0C">
        <w:t xml:space="preserve"> termijn, na kosten en inflatie;</w:t>
      </w:r>
    </w:p>
    <w:p w14:paraId="447D6AB2" w14:textId="77777777" w:rsidR="00787746" w:rsidRPr="007B7F5B" w:rsidRDefault="00787746" w:rsidP="004C06F0">
      <w:pPr>
        <w:numPr>
          <w:ilvl w:val="0"/>
          <w:numId w:val="15"/>
        </w:numPr>
        <w:rPr>
          <w:rFonts w:ascii="Calibri" w:hAnsi="Calibri"/>
          <w:iCs/>
          <w:sz w:val="22"/>
        </w:rPr>
      </w:pPr>
      <w:r w:rsidRPr="007B7F5B">
        <w:rPr>
          <w:rFonts w:ascii="Calibri" w:hAnsi="Calibri"/>
          <w:iCs/>
          <w:sz w:val="22"/>
        </w:rPr>
        <w:t xml:space="preserve">Er dient belegd te worden conform </w:t>
      </w:r>
      <w:r w:rsidR="00BC2305">
        <w:rPr>
          <w:rFonts w:ascii="Calibri" w:hAnsi="Calibri"/>
          <w:iCs/>
          <w:sz w:val="22"/>
        </w:rPr>
        <w:t xml:space="preserve">een </w:t>
      </w:r>
      <w:r w:rsidR="001E18BE">
        <w:rPr>
          <w:rFonts w:ascii="Calibri" w:hAnsi="Calibri"/>
          <w:iCs/>
          <w:sz w:val="22"/>
        </w:rPr>
        <w:t>”defensief”</w:t>
      </w:r>
      <w:r w:rsidRPr="007B7F5B">
        <w:rPr>
          <w:rFonts w:ascii="Calibri" w:hAnsi="Calibri"/>
          <w:iCs/>
          <w:sz w:val="22"/>
        </w:rPr>
        <w:t xml:space="preserve"> </w:t>
      </w:r>
      <w:r w:rsidR="001471FB">
        <w:rPr>
          <w:rFonts w:ascii="Calibri" w:hAnsi="Calibri"/>
          <w:iCs/>
          <w:sz w:val="22"/>
        </w:rPr>
        <w:t>risicoprofiel;</w:t>
      </w:r>
      <w:r w:rsidRPr="007B7F5B">
        <w:rPr>
          <w:rFonts w:ascii="Calibri" w:hAnsi="Calibri"/>
          <w:iCs/>
          <w:sz w:val="22"/>
        </w:rPr>
        <w:t xml:space="preserve"> </w:t>
      </w:r>
    </w:p>
    <w:p w14:paraId="1A72F70C" w14:textId="5EA68C97" w:rsidR="00787746" w:rsidRDefault="00787746" w:rsidP="004C06F0">
      <w:pPr>
        <w:numPr>
          <w:ilvl w:val="0"/>
          <w:numId w:val="15"/>
        </w:numPr>
        <w:rPr>
          <w:rFonts w:ascii="Calibri" w:hAnsi="Calibri"/>
          <w:iCs/>
          <w:sz w:val="22"/>
        </w:rPr>
      </w:pPr>
      <w:r w:rsidRPr="007B7F5B">
        <w:rPr>
          <w:rFonts w:ascii="Calibri" w:hAnsi="Calibri"/>
          <w:iCs/>
          <w:sz w:val="22"/>
        </w:rPr>
        <w:t>Er dient behoudend belegd te worden door uitsluitend te kiezen voor zeer kredietwaardige debiteuren, het spreiden van risico’s en h</w:t>
      </w:r>
      <w:r w:rsidR="004C06F0">
        <w:rPr>
          <w:rFonts w:ascii="Calibri" w:hAnsi="Calibri"/>
          <w:iCs/>
          <w:sz w:val="22"/>
        </w:rPr>
        <w:t>et vermijden van valutarisico</w:t>
      </w:r>
      <w:r w:rsidR="00055974">
        <w:rPr>
          <w:rFonts w:ascii="Calibri" w:hAnsi="Calibri"/>
          <w:iCs/>
          <w:sz w:val="22"/>
        </w:rPr>
        <w:t xml:space="preserve"> bij obligaties</w:t>
      </w:r>
      <w:r w:rsidR="004C06F0">
        <w:rPr>
          <w:rFonts w:ascii="Calibri" w:hAnsi="Calibri"/>
          <w:iCs/>
          <w:sz w:val="22"/>
        </w:rPr>
        <w:t>;</w:t>
      </w:r>
    </w:p>
    <w:p w14:paraId="477C4CAB" w14:textId="77777777" w:rsidR="00787746" w:rsidRDefault="00787746" w:rsidP="004C06F0">
      <w:pPr>
        <w:numPr>
          <w:ilvl w:val="0"/>
          <w:numId w:val="15"/>
        </w:numPr>
        <w:rPr>
          <w:rFonts w:ascii="Calibri" w:hAnsi="Calibri"/>
          <w:iCs/>
          <w:sz w:val="22"/>
        </w:rPr>
      </w:pPr>
      <w:r w:rsidRPr="007B7F5B">
        <w:rPr>
          <w:rFonts w:ascii="Calibri" w:hAnsi="Calibri"/>
          <w:iCs/>
          <w:sz w:val="22"/>
        </w:rPr>
        <w:t>Er word</w:t>
      </w:r>
      <w:r w:rsidR="004C06F0">
        <w:rPr>
          <w:rFonts w:ascii="Calibri" w:hAnsi="Calibri"/>
          <w:iCs/>
          <w:sz w:val="22"/>
        </w:rPr>
        <w:t>t niet belegd met geleend geld;</w:t>
      </w:r>
    </w:p>
    <w:p w14:paraId="69FD6E9C" w14:textId="3A893382" w:rsidR="00F85971" w:rsidRPr="00EF741B" w:rsidRDefault="00F85971" w:rsidP="004C06F0">
      <w:pPr>
        <w:numPr>
          <w:ilvl w:val="0"/>
          <w:numId w:val="15"/>
        </w:numPr>
        <w:rPr>
          <w:rFonts w:ascii="Calibri" w:hAnsi="Calibri"/>
          <w:iCs/>
          <w:sz w:val="22"/>
        </w:rPr>
      </w:pPr>
      <w:r w:rsidRPr="00EF741B">
        <w:rPr>
          <w:rFonts w:ascii="Calibri" w:hAnsi="Calibri"/>
          <w:iCs/>
          <w:sz w:val="22"/>
        </w:rPr>
        <w:t xml:space="preserve">Er wordt niet belegd in </w:t>
      </w:r>
      <w:proofErr w:type="spellStart"/>
      <w:r w:rsidRPr="00EF741B">
        <w:rPr>
          <w:rFonts w:ascii="Calibri" w:hAnsi="Calibri"/>
          <w:iCs/>
          <w:sz w:val="22"/>
        </w:rPr>
        <w:t>hedgefunds</w:t>
      </w:r>
      <w:proofErr w:type="spellEnd"/>
      <w:r w:rsidRPr="00EF741B">
        <w:rPr>
          <w:rFonts w:ascii="Calibri" w:hAnsi="Calibri"/>
          <w:iCs/>
          <w:sz w:val="22"/>
        </w:rPr>
        <w:t>;</w:t>
      </w:r>
    </w:p>
    <w:p w14:paraId="069616A3" w14:textId="77777777" w:rsidR="00445F67" w:rsidRPr="007B7F5B" w:rsidRDefault="00445F67" w:rsidP="00445F67">
      <w:pPr>
        <w:numPr>
          <w:ilvl w:val="0"/>
          <w:numId w:val="15"/>
        </w:numPr>
        <w:rPr>
          <w:rFonts w:ascii="Calibri" w:hAnsi="Calibri"/>
          <w:iCs/>
          <w:sz w:val="22"/>
        </w:rPr>
      </w:pPr>
      <w:r w:rsidRPr="007B7F5B">
        <w:rPr>
          <w:rFonts w:ascii="Calibri" w:hAnsi="Calibri"/>
          <w:iCs/>
          <w:sz w:val="22"/>
        </w:rPr>
        <w:t>Er geldt een beleggingshorizon met</w:t>
      </w:r>
      <w:r w:rsidR="002A7090">
        <w:rPr>
          <w:rFonts w:ascii="Calibri" w:hAnsi="Calibri"/>
          <w:iCs/>
          <w:sz w:val="22"/>
        </w:rPr>
        <w:t xml:space="preserve"> een looptijd langer dan 5 jaar;</w:t>
      </w:r>
      <w:r w:rsidRPr="007B7F5B">
        <w:rPr>
          <w:rFonts w:ascii="Calibri" w:hAnsi="Calibri"/>
          <w:iCs/>
          <w:sz w:val="22"/>
        </w:rPr>
        <w:t xml:space="preserve"> </w:t>
      </w:r>
    </w:p>
    <w:p w14:paraId="46EF2EE0" w14:textId="46C48BAA" w:rsidR="00B146AD" w:rsidRDefault="00B146AD" w:rsidP="004C06F0">
      <w:pPr>
        <w:numPr>
          <w:ilvl w:val="0"/>
          <w:numId w:val="15"/>
        </w:numPr>
        <w:rPr>
          <w:rFonts w:ascii="Calibri" w:hAnsi="Calibri"/>
          <w:iCs/>
          <w:sz w:val="22"/>
        </w:rPr>
      </w:pPr>
      <w:r>
        <w:rPr>
          <w:rFonts w:ascii="Calibri" w:hAnsi="Calibri"/>
          <w:iCs/>
          <w:sz w:val="22"/>
        </w:rPr>
        <w:t xml:space="preserve">Er dient regelmatig vrijval te zijn van </w:t>
      </w:r>
      <w:r w:rsidR="001E18BE">
        <w:rPr>
          <w:rFonts w:ascii="Calibri" w:hAnsi="Calibri"/>
          <w:iCs/>
          <w:sz w:val="22"/>
        </w:rPr>
        <w:t xml:space="preserve">een deel van de </w:t>
      </w:r>
      <w:r w:rsidR="003F56B7">
        <w:rPr>
          <w:rFonts w:ascii="Calibri" w:hAnsi="Calibri"/>
          <w:iCs/>
          <w:sz w:val="22"/>
        </w:rPr>
        <w:t>belegde middelen</w:t>
      </w:r>
      <w:r w:rsidR="00055974">
        <w:rPr>
          <w:rFonts w:ascii="Calibri" w:hAnsi="Calibri"/>
          <w:iCs/>
          <w:sz w:val="22"/>
        </w:rPr>
        <w:t xml:space="preserve"> in vastrentende waarden</w:t>
      </w:r>
      <w:r w:rsidR="003F56B7">
        <w:rPr>
          <w:rFonts w:ascii="Calibri" w:hAnsi="Calibri"/>
          <w:iCs/>
          <w:sz w:val="22"/>
        </w:rPr>
        <w:t>;</w:t>
      </w:r>
    </w:p>
    <w:p w14:paraId="73DA4992" w14:textId="77777777" w:rsidR="00B6115F" w:rsidRDefault="00B6115F" w:rsidP="00B6115F">
      <w:pPr>
        <w:ind w:left="360"/>
        <w:rPr>
          <w:rFonts w:ascii="Calibri" w:hAnsi="Calibri"/>
          <w:iCs/>
          <w:sz w:val="22"/>
        </w:rPr>
      </w:pPr>
      <w:r>
        <w:rPr>
          <w:rFonts w:ascii="Calibri" w:hAnsi="Calibri"/>
          <w:iCs/>
          <w:sz w:val="22"/>
        </w:rPr>
        <w:br/>
      </w:r>
      <w:r>
        <w:rPr>
          <w:rFonts w:ascii="Calibri" w:hAnsi="Calibri"/>
          <w:iCs/>
          <w:sz w:val="22"/>
        </w:rPr>
        <w:br/>
      </w:r>
    </w:p>
    <w:p w14:paraId="60E62209" w14:textId="43176714" w:rsidR="003F56B7" w:rsidRDefault="00DE63CC" w:rsidP="004C06F0">
      <w:pPr>
        <w:numPr>
          <w:ilvl w:val="0"/>
          <w:numId w:val="15"/>
        </w:numPr>
        <w:rPr>
          <w:rFonts w:ascii="Calibri" w:hAnsi="Calibri"/>
          <w:iCs/>
          <w:sz w:val="22"/>
        </w:rPr>
      </w:pPr>
      <w:r>
        <w:rPr>
          <w:rFonts w:ascii="Calibri" w:hAnsi="Calibri"/>
          <w:iCs/>
          <w:sz w:val="22"/>
        </w:rPr>
        <w:t>De beleggingsactiviteiten worden uitgevoerd door een extern vermogensbeheerder</w:t>
      </w:r>
      <w:r w:rsidR="00445F67">
        <w:rPr>
          <w:rFonts w:ascii="Calibri" w:hAnsi="Calibri"/>
          <w:iCs/>
          <w:sz w:val="22"/>
        </w:rPr>
        <w:t>;</w:t>
      </w:r>
    </w:p>
    <w:p w14:paraId="77B4AB3A" w14:textId="452912EB" w:rsidR="00445F67" w:rsidRDefault="001E18BE" w:rsidP="00445F67">
      <w:pPr>
        <w:numPr>
          <w:ilvl w:val="0"/>
          <w:numId w:val="15"/>
        </w:numPr>
        <w:rPr>
          <w:rFonts w:ascii="Calibri" w:hAnsi="Calibri"/>
          <w:iCs/>
          <w:sz w:val="22"/>
        </w:rPr>
      </w:pPr>
      <w:r>
        <w:rPr>
          <w:rFonts w:ascii="Calibri" w:hAnsi="Calibri"/>
          <w:sz w:val="22"/>
        </w:rPr>
        <w:t>Het bestuur van d</w:t>
      </w:r>
      <w:r w:rsidR="00445F67" w:rsidRPr="007B7F5B">
        <w:rPr>
          <w:rFonts w:ascii="Calibri" w:hAnsi="Calibri"/>
          <w:sz w:val="22"/>
        </w:rPr>
        <w:t xml:space="preserve">e </w:t>
      </w:r>
      <w:r w:rsidR="00D42607">
        <w:rPr>
          <w:rFonts w:ascii="Calibri" w:hAnsi="Calibri"/>
          <w:sz w:val="22"/>
        </w:rPr>
        <w:t>............</w:t>
      </w:r>
      <w:r w:rsidR="00445F67" w:rsidRPr="007B7F5B">
        <w:rPr>
          <w:rFonts w:ascii="Calibri" w:hAnsi="Calibri"/>
          <w:sz w:val="22"/>
        </w:rPr>
        <w:t xml:space="preserve"> </w:t>
      </w:r>
      <w:r w:rsidR="00445F67" w:rsidRPr="007B7F5B">
        <w:rPr>
          <w:rFonts w:ascii="Calibri" w:hAnsi="Calibri"/>
          <w:iCs/>
          <w:sz w:val="22"/>
        </w:rPr>
        <w:t xml:space="preserve">beoordeelt </w:t>
      </w:r>
      <w:r w:rsidR="00D2071A">
        <w:rPr>
          <w:rFonts w:ascii="Calibri" w:hAnsi="Calibri"/>
          <w:iCs/>
          <w:sz w:val="22"/>
        </w:rPr>
        <w:t>elk kwartaal</w:t>
      </w:r>
      <w:r w:rsidR="00445F67" w:rsidRPr="007B7F5B">
        <w:rPr>
          <w:rFonts w:ascii="Calibri" w:hAnsi="Calibri"/>
          <w:iCs/>
          <w:sz w:val="22"/>
        </w:rPr>
        <w:t xml:space="preserve"> de uitv</w:t>
      </w:r>
      <w:r w:rsidR="00445F67">
        <w:rPr>
          <w:rFonts w:ascii="Calibri" w:hAnsi="Calibri"/>
          <w:iCs/>
          <w:sz w:val="22"/>
        </w:rPr>
        <w:t>oe</w:t>
      </w:r>
      <w:r w:rsidR="002A7090">
        <w:rPr>
          <w:rFonts w:ascii="Calibri" w:hAnsi="Calibri"/>
          <w:iCs/>
          <w:sz w:val="22"/>
        </w:rPr>
        <w:t>ring van het beleggingsbeleid.</w:t>
      </w:r>
    </w:p>
    <w:p w14:paraId="6919C8DA" w14:textId="77777777" w:rsidR="00787746" w:rsidRPr="007B7F5B" w:rsidRDefault="00787746" w:rsidP="000319D9">
      <w:pPr>
        <w:rPr>
          <w:rFonts w:ascii="Calibri" w:hAnsi="Calibri"/>
          <w:iCs/>
          <w:sz w:val="22"/>
        </w:rPr>
      </w:pPr>
    </w:p>
    <w:p w14:paraId="1D3B4BE8" w14:textId="77777777" w:rsidR="00787746" w:rsidRPr="007B7F5B" w:rsidRDefault="00787746" w:rsidP="000319D9">
      <w:pPr>
        <w:rPr>
          <w:rFonts w:ascii="Calibri" w:hAnsi="Calibri"/>
          <w:iCs/>
          <w:sz w:val="22"/>
          <w:lang w:val="nl"/>
        </w:rPr>
      </w:pPr>
      <w:r w:rsidRPr="007B7F5B">
        <w:rPr>
          <w:rFonts w:ascii="Calibri" w:hAnsi="Calibri"/>
          <w:iCs/>
          <w:sz w:val="22"/>
          <w:lang w:val="nl"/>
        </w:rPr>
        <w:t>Uit deze randvoorwaarden volgen de volgende criteria ten aanzien van de beleggingen.</w:t>
      </w:r>
    </w:p>
    <w:p w14:paraId="06DBCEAA" w14:textId="77777777" w:rsidR="00EA3FCB" w:rsidRDefault="00EA3FCB" w:rsidP="00EA3FCB">
      <w:pPr>
        <w:ind w:left="360"/>
        <w:rPr>
          <w:rFonts w:ascii="Calibri" w:hAnsi="Calibri"/>
          <w:iCs/>
          <w:sz w:val="22"/>
          <w:lang w:val="nl"/>
        </w:rPr>
      </w:pPr>
    </w:p>
    <w:p w14:paraId="3993F8E5" w14:textId="77777777" w:rsidR="00A95FF3" w:rsidRDefault="00A95FF3" w:rsidP="00A95FF3">
      <w:pPr>
        <w:ind w:left="6372" w:firstLine="708"/>
        <w:rPr>
          <w:rFonts w:ascii="Calibri" w:hAnsi="Calibri"/>
          <w:b/>
          <w:bCs/>
          <w:iCs/>
          <w:sz w:val="22"/>
          <w:lang w:val="nl"/>
        </w:rPr>
      </w:pPr>
    </w:p>
    <w:p w14:paraId="7CC03850" w14:textId="2BCD0A4E" w:rsidR="00EA3FCB" w:rsidRDefault="002228D0" w:rsidP="00EA3FCB">
      <w:pPr>
        <w:rPr>
          <w:rFonts w:ascii="Calibri" w:hAnsi="Calibri"/>
          <w:b/>
          <w:bCs/>
          <w:iCs/>
          <w:sz w:val="22"/>
          <w:lang w:val="nl"/>
        </w:rPr>
      </w:pPr>
      <w:r>
        <w:rPr>
          <w:rFonts w:ascii="Calibri" w:hAnsi="Calibri"/>
          <w:b/>
          <w:bCs/>
          <w:iCs/>
          <w:sz w:val="22"/>
          <w:lang w:val="nl"/>
        </w:rPr>
        <w:lastRenderedPageBreak/>
        <w:t>3.</w:t>
      </w:r>
      <w:r w:rsidR="00EA3FCB">
        <w:rPr>
          <w:rFonts w:ascii="Calibri" w:hAnsi="Calibri"/>
          <w:b/>
          <w:bCs/>
          <w:iCs/>
          <w:sz w:val="22"/>
          <w:lang w:val="nl"/>
        </w:rPr>
        <w:t xml:space="preserve"> Criteria</w:t>
      </w:r>
    </w:p>
    <w:p w14:paraId="753D4E12" w14:textId="77777777" w:rsidR="009A23A5" w:rsidRDefault="009A23A5" w:rsidP="00EA3FCB">
      <w:pPr>
        <w:rPr>
          <w:rFonts w:ascii="Calibri" w:hAnsi="Calibri"/>
          <w:b/>
          <w:bCs/>
          <w:iCs/>
          <w:sz w:val="22"/>
          <w:lang w:val="nl"/>
        </w:rPr>
      </w:pPr>
    </w:p>
    <w:p w14:paraId="4BE8EFDD" w14:textId="51880FA4" w:rsidR="00787746" w:rsidRPr="007B7F5B" w:rsidRDefault="002228D0" w:rsidP="00EA3FCB">
      <w:pPr>
        <w:rPr>
          <w:rFonts w:ascii="Calibri" w:hAnsi="Calibri"/>
          <w:b/>
          <w:bCs/>
          <w:iCs/>
          <w:sz w:val="22"/>
          <w:lang w:val="nl"/>
        </w:rPr>
      </w:pPr>
      <w:r>
        <w:rPr>
          <w:rFonts w:ascii="Calibri" w:hAnsi="Calibri"/>
          <w:b/>
          <w:bCs/>
          <w:iCs/>
          <w:sz w:val="22"/>
          <w:lang w:val="nl"/>
        </w:rPr>
        <w:t>3</w:t>
      </w:r>
      <w:r w:rsidR="009A23A5">
        <w:rPr>
          <w:rFonts w:ascii="Calibri" w:hAnsi="Calibri"/>
          <w:b/>
          <w:bCs/>
          <w:iCs/>
          <w:sz w:val="22"/>
          <w:lang w:val="nl"/>
        </w:rPr>
        <w:t xml:space="preserve">.1 </w:t>
      </w:r>
      <w:r w:rsidR="009D08B2">
        <w:rPr>
          <w:rFonts w:ascii="Calibri" w:hAnsi="Calibri"/>
          <w:b/>
          <w:bCs/>
          <w:iCs/>
          <w:sz w:val="22"/>
          <w:lang w:val="nl"/>
        </w:rPr>
        <w:t>strategische beleggingsmix</w:t>
      </w:r>
    </w:p>
    <w:p w14:paraId="4246DDB5" w14:textId="77777777" w:rsidR="00787746" w:rsidRPr="007B7F5B" w:rsidRDefault="00787746" w:rsidP="00436FBB">
      <w:pPr>
        <w:rPr>
          <w:rFonts w:ascii="Calibri" w:hAnsi="Calibri"/>
          <w:iCs/>
          <w:sz w:val="22"/>
        </w:rPr>
      </w:pPr>
    </w:p>
    <w:p w14:paraId="24773DE3" w14:textId="366C550C" w:rsidR="009D08B2" w:rsidRPr="009D08B2" w:rsidRDefault="009D08B2" w:rsidP="009D08B2">
      <w:pPr>
        <w:rPr>
          <w:rFonts w:ascii="Calibri" w:hAnsi="Calibri"/>
          <w:iCs/>
          <w:sz w:val="22"/>
        </w:rPr>
      </w:pPr>
      <w:r w:rsidRPr="009D08B2">
        <w:rPr>
          <w:rFonts w:ascii="Calibri" w:hAnsi="Calibri"/>
          <w:iCs/>
          <w:sz w:val="22"/>
        </w:rPr>
        <w:t>De bepaling van de strategische beleggingsmix dient op dusdanige wijze te geschieden dat de</w:t>
      </w:r>
      <w:r w:rsidR="00FF5B7E">
        <w:rPr>
          <w:rFonts w:ascii="Calibri" w:hAnsi="Calibri"/>
          <w:iCs/>
          <w:sz w:val="22"/>
        </w:rPr>
        <w:t xml:space="preserve"> </w:t>
      </w:r>
      <w:r w:rsidRPr="009D08B2">
        <w:rPr>
          <w:rFonts w:ascii="Calibri" w:hAnsi="Calibri"/>
          <w:iCs/>
          <w:sz w:val="22"/>
        </w:rPr>
        <w:t xml:space="preserve">samenstelling van de mix de lange termijn doelstelling niet in gevaar brengt. </w:t>
      </w:r>
      <w:r>
        <w:rPr>
          <w:rFonts w:ascii="Calibri" w:hAnsi="Calibri"/>
          <w:iCs/>
          <w:sz w:val="22"/>
        </w:rPr>
        <w:t>Bij</w:t>
      </w:r>
      <w:r w:rsidRPr="009D08B2">
        <w:rPr>
          <w:rFonts w:ascii="Calibri" w:hAnsi="Calibri"/>
          <w:iCs/>
          <w:sz w:val="22"/>
        </w:rPr>
        <w:t xml:space="preserve"> de bepaling van de strategische beleggingsmix wordt </w:t>
      </w:r>
      <w:r>
        <w:rPr>
          <w:rFonts w:ascii="Calibri" w:hAnsi="Calibri"/>
          <w:iCs/>
          <w:sz w:val="22"/>
        </w:rPr>
        <w:t xml:space="preserve">gebruik gemaakt </w:t>
      </w:r>
      <w:r w:rsidRPr="009D08B2">
        <w:rPr>
          <w:rFonts w:ascii="Calibri" w:hAnsi="Calibri"/>
          <w:iCs/>
          <w:sz w:val="22"/>
        </w:rPr>
        <w:t>van de diensten van derden zoals de vermogensbeheerder. De strategische beleggingsmix dient een weergave te zijn van enerzijds het streven naar rendement en anderzijds de noodzakelijke voorzichtigheid die aansluit bij de beleggingsdoelstelling. De belangrijkste randvoorwaarden zijn:</w:t>
      </w:r>
    </w:p>
    <w:p w14:paraId="0D8DE584" w14:textId="77777777" w:rsidR="009D08B2" w:rsidRPr="009D08B2" w:rsidRDefault="009D08B2" w:rsidP="009D08B2">
      <w:pPr>
        <w:rPr>
          <w:rFonts w:ascii="Calibri" w:hAnsi="Calibri"/>
          <w:iCs/>
          <w:sz w:val="22"/>
        </w:rPr>
      </w:pPr>
    </w:p>
    <w:p w14:paraId="17AAA756" w14:textId="77777777" w:rsidR="009D08B2" w:rsidRPr="00FC6E1A" w:rsidRDefault="009D08B2" w:rsidP="00FC6E1A">
      <w:pPr>
        <w:pStyle w:val="Lijstalinea"/>
        <w:numPr>
          <w:ilvl w:val="0"/>
          <w:numId w:val="23"/>
        </w:numPr>
        <w:rPr>
          <w:rFonts w:ascii="Calibri" w:hAnsi="Calibri"/>
          <w:iCs/>
          <w:sz w:val="22"/>
        </w:rPr>
      </w:pPr>
      <w:r w:rsidRPr="00FC6E1A">
        <w:rPr>
          <w:rFonts w:ascii="Calibri" w:hAnsi="Calibri"/>
          <w:iCs/>
          <w:sz w:val="22"/>
        </w:rPr>
        <w:t>Spreiding van de beleggingen over meerdere beleggingscategorieën;</w:t>
      </w:r>
    </w:p>
    <w:p w14:paraId="08E2526E" w14:textId="2B3B5C8F" w:rsidR="009D08B2" w:rsidRPr="00FC6E1A" w:rsidRDefault="009D08B2" w:rsidP="00FC6E1A">
      <w:pPr>
        <w:pStyle w:val="Lijstalinea"/>
        <w:numPr>
          <w:ilvl w:val="0"/>
          <w:numId w:val="23"/>
        </w:numPr>
        <w:rPr>
          <w:rFonts w:ascii="Calibri" w:hAnsi="Calibri"/>
          <w:iCs/>
          <w:sz w:val="22"/>
        </w:rPr>
      </w:pPr>
      <w:r w:rsidRPr="00FC6E1A">
        <w:rPr>
          <w:rFonts w:ascii="Calibri" w:hAnsi="Calibri"/>
          <w:iCs/>
          <w:sz w:val="22"/>
        </w:rPr>
        <w:t xml:space="preserve">Het totale risiconiveau van de beleggingen, in termen van </w:t>
      </w:r>
      <w:proofErr w:type="spellStart"/>
      <w:r w:rsidRPr="00FC6E1A">
        <w:rPr>
          <w:rFonts w:ascii="Calibri" w:hAnsi="Calibri"/>
          <w:iCs/>
          <w:sz w:val="22"/>
        </w:rPr>
        <w:t>potentiele</w:t>
      </w:r>
      <w:proofErr w:type="spellEnd"/>
      <w:r w:rsidRPr="00FC6E1A">
        <w:rPr>
          <w:rFonts w:ascii="Calibri" w:hAnsi="Calibri"/>
          <w:iCs/>
          <w:sz w:val="22"/>
        </w:rPr>
        <w:t xml:space="preserve"> koersfluctuaties, dient rekenin</w:t>
      </w:r>
      <w:r w:rsidR="00FC6E1A" w:rsidRPr="00FC6E1A">
        <w:rPr>
          <w:rFonts w:ascii="Calibri" w:hAnsi="Calibri"/>
          <w:iCs/>
          <w:sz w:val="22"/>
        </w:rPr>
        <w:t xml:space="preserve">g </w:t>
      </w:r>
      <w:r w:rsidRPr="00FC6E1A">
        <w:rPr>
          <w:rFonts w:ascii="Calibri" w:hAnsi="Calibri"/>
          <w:iCs/>
          <w:sz w:val="22"/>
        </w:rPr>
        <w:t xml:space="preserve">te houden met het risico dat de </w:t>
      </w:r>
      <w:r w:rsidR="00D42607">
        <w:rPr>
          <w:rFonts w:ascii="Calibri" w:hAnsi="Calibri"/>
          <w:iCs/>
          <w:sz w:val="22"/>
        </w:rPr>
        <w:t>............</w:t>
      </w:r>
      <w:r w:rsidRPr="00FC6E1A">
        <w:rPr>
          <w:rFonts w:ascii="Calibri" w:hAnsi="Calibri"/>
          <w:iCs/>
          <w:sz w:val="22"/>
        </w:rPr>
        <w:t xml:space="preserve"> kan lopen om aan haar doelstelling</w:t>
      </w:r>
      <w:r w:rsidR="009532DF">
        <w:rPr>
          <w:rFonts w:ascii="Calibri" w:hAnsi="Calibri"/>
          <w:iCs/>
          <w:sz w:val="22"/>
        </w:rPr>
        <w:t xml:space="preserve">en </w:t>
      </w:r>
      <w:r w:rsidRPr="00FC6E1A">
        <w:rPr>
          <w:rFonts w:ascii="Calibri" w:hAnsi="Calibri"/>
          <w:iCs/>
          <w:sz w:val="22"/>
        </w:rPr>
        <w:t>te blijven voldoen;</w:t>
      </w:r>
    </w:p>
    <w:p w14:paraId="6D8104AC" w14:textId="77777777" w:rsidR="009D08B2" w:rsidRPr="00FC6E1A" w:rsidRDefault="009D08B2" w:rsidP="00FC6E1A">
      <w:pPr>
        <w:pStyle w:val="Lijstalinea"/>
        <w:numPr>
          <w:ilvl w:val="0"/>
          <w:numId w:val="23"/>
        </w:numPr>
        <w:rPr>
          <w:rFonts w:ascii="Calibri" w:hAnsi="Calibri"/>
          <w:iCs/>
          <w:sz w:val="22"/>
        </w:rPr>
      </w:pPr>
      <w:r w:rsidRPr="00FC6E1A">
        <w:rPr>
          <w:rFonts w:ascii="Calibri" w:hAnsi="Calibri"/>
          <w:iCs/>
          <w:sz w:val="22"/>
        </w:rPr>
        <w:t>Zorgvuldige beheersing van het risiconiveau zowel tussen de afzonderlijke beleggingscategorieën als binnen de betreffende beleggingscategorie. Nadruk wordt gelegd op het behoud van het vermogen en stabiele groei op lange termijn (&gt;5 jaar)</w:t>
      </w:r>
      <w:r w:rsidR="009532DF">
        <w:rPr>
          <w:rFonts w:ascii="Calibri" w:hAnsi="Calibri"/>
          <w:iCs/>
          <w:sz w:val="22"/>
        </w:rPr>
        <w:t xml:space="preserve">. Deze nadruk prevaleert over het nastreven van </w:t>
      </w:r>
      <w:r w:rsidRPr="00FC6E1A">
        <w:rPr>
          <w:rFonts w:ascii="Calibri" w:hAnsi="Calibri"/>
          <w:iCs/>
          <w:sz w:val="22"/>
        </w:rPr>
        <w:t>korte termijn vermogenswinsten.</w:t>
      </w:r>
    </w:p>
    <w:p w14:paraId="099D3BF7" w14:textId="77777777" w:rsidR="00160712" w:rsidRDefault="00160712" w:rsidP="00436FBB">
      <w:pPr>
        <w:rPr>
          <w:rFonts w:ascii="Calibri" w:hAnsi="Calibri"/>
          <w:iCs/>
          <w:sz w:val="22"/>
        </w:rPr>
      </w:pPr>
    </w:p>
    <w:p w14:paraId="70122168" w14:textId="77777777" w:rsidR="00787746" w:rsidRPr="007B7F5B" w:rsidRDefault="00787746" w:rsidP="00436FBB">
      <w:pPr>
        <w:rPr>
          <w:rFonts w:ascii="Calibri" w:hAnsi="Calibri"/>
          <w:iCs/>
          <w:sz w:val="22"/>
        </w:rPr>
      </w:pPr>
      <w:r w:rsidRPr="007B7F5B">
        <w:rPr>
          <w:rFonts w:ascii="Calibri" w:hAnsi="Calibri"/>
          <w:iCs/>
          <w:sz w:val="22"/>
        </w:rPr>
        <w:t xml:space="preserve">Een </w:t>
      </w:r>
      <w:r w:rsidR="000F0BA2">
        <w:rPr>
          <w:rFonts w:ascii="Calibri" w:hAnsi="Calibri"/>
          <w:iCs/>
          <w:sz w:val="22"/>
        </w:rPr>
        <w:t>beleggingscategorie</w:t>
      </w:r>
      <w:r w:rsidRPr="007B7F5B">
        <w:rPr>
          <w:rFonts w:ascii="Calibri" w:hAnsi="Calibri"/>
          <w:iCs/>
          <w:sz w:val="22"/>
        </w:rPr>
        <w:t xml:space="preserve"> is een categorie van gelijksoortige beleggingen. De bekendste </w:t>
      </w:r>
      <w:r w:rsidR="000F0BA2">
        <w:rPr>
          <w:rFonts w:ascii="Calibri" w:hAnsi="Calibri"/>
          <w:iCs/>
          <w:sz w:val="22"/>
        </w:rPr>
        <w:t>beleggingscategorieën</w:t>
      </w:r>
      <w:r w:rsidRPr="007B7F5B">
        <w:rPr>
          <w:rFonts w:ascii="Calibri" w:hAnsi="Calibri"/>
          <w:iCs/>
          <w:sz w:val="22"/>
        </w:rPr>
        <w:t xml:space="preserve"> zijn aandelen, vastrentende waarden en alternatieve beleggingen. Door een mix van verschillende </w:t>
      </w:r>
      <w:r w:rsidR="000F0BA2">
        <w:rPr>
          <w:rFonts w:ascii="Calibri" w:hAnsi="Calibri"/>
          <w:iCs/>
          <w:sz w:val="22"/>
        </w:rPr>
        <w:t>beleggingscategorieën</w:t>
      </w:r>
      <w:r w:rsidRPr="007B7F5B">
        <w:rPr>
          <w:rFonts w:ascii="Calibri" w:hAnsi="Calibri"/>
          <w:iCs/>
          <w:sz w:val="22"/>
        </w:rPr>
        <w:t xml:space="preserve"> in de portefeuille op te nemen kan er een hoger rendement gegenereerd worden bij een gelijkblijvend, of zelfs lager, risico. Dit komt doordat verschillende </w:t>
      </w:r>
      <w:r w:rsidR="000F0BA2">
        <w:rPr>
          <w:rFonts w:ascii="Calibri" w:hAnsi="Calibri"/>
          <w:iCs/>
          <w:sz w:val="22"/>
        </w:rPr>
        <w:t>beleg</w:t>
      </w:r>
      <w:r w:rsidR="00E1262F">
        <w:rPr>
          <w:rFonts w:ascii="Calibri" w:hAnsi="Calibri"/>
          <w:iCs/>
          <w:sz w:val="22"/>
        </w:rPr>
        <w:t>g</w:t>
      </w:r>
      <w:r w:rsidR="000F0BA2">
        <w:rPr>
          <w:rFonts w:ascii="Calibri" w:hAnsi="Calibri"/>
          <w:iCs/>
          <w:sz w:val="22"/>
        </w:rPr>
        <w:t>ingscategorieën</w:t>
      </w:r>
      <w:r w:rsidRPr="007B7F5B">
        <w:rPr>
          <w:rFonts w:ascii="Calibri" w:hAnsi="Calibri"/>
          <w:iCs/>
          <w:sz w:val="22"/>
        </w:rPr>
        <w:t xml:space="preserve"> anders reageren op economische gebeurtenissen en daarom zorgen voor de gewenste diversificatie in de effectenportefeuille. De mix bepaalt voor het grootste gedeelte de risico-rendement</w:t>
      </w:r>
      <w:r w:rsidR="00353B86">
        <w:rPr>
          <w:rFonts w:ascii="Calibri" w:hAnsi="Calibri"/>
          <w:iCs/>
          <w:sz w:val="22"/>
        </w:rPr>
        <w:t>sverhouding van de portefeuille</w:t>
      </w:r>
      <w:r w:rsidRPr="007B7F5B">
        <w:rPr>
          <w:rFonts w:ascii="Calibri" w:hAnsi="Calibri"/>
          <w:iCs/>
          <w:sz w:val="22"/>
        </w:rPr>
        <w:t xml:space="preserve">. Om te kunnen voldoen aan de eis om behoudend, en binnen het doelrisicoprofiel “defensief” te beleggen, wordt de onderstaande </w:t>
      </w:r>
      <w:r w:rsidR="000F0BA2">
        <w:rPr>
          <w:rFonts w:ascii="Calibri" w:hAnsi="Calibri"/>
          <w:iCs/>
          <w:sz w:val="22"/>
        </w:rPr>
        <w:t>verdeling</w:t>
      </w:r>
      <w:r w:rsidRPr="007B7F5B">
        <w:rPr>
          <w:rFonts w:ascii="Calibri" w:hAnsi="Calibri"/>
          <w:iCs/>
          <w:sz w:val="22"/>
        </w:rPr>
        <w:t xml:space="preserve"> gehanteerd:</w:t>
      </w:r>
    </w:p>
    <w:p w14:paraId="02989935" w14:textId="77777777" w:rsidR="00787746" w:rsidRPr="007B7F5B" w:rsidRDefault="00787746" w:rsidP="00436FBB">
      <w:pPr>
        <w:rPr>
          <w:rFonts w:ascii="Calibri" w:hAnsi="Calibri"/>
          <w:iCs/>
          <w:sz w:val="22"/>
        </w:rPr>
      </w:pPr>
    </w:p>
    <w:p w14:paraId="333A34A3" w14:textId="77777777" w:rsidR="00787746" w:rsidRPr="007B7F5B" w:rsidRDefault="00787746">
      <w:pPr>
        <w:rPr>
          <w:rFonts w:ascii="Calibri" w:hAnsi="Calibri"/>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843"/>
        <w:gridCol w:w="4389"/>
      </w:tblGrid>
      <w:tr w:rsidR="00787746" w:rsidRPr="007B7F5B" w14:paraId="78AF74C8" w14:textId="77777777" w:rsidTr="00FC2465">
        <w:tc>
          <w:tcPr>
            <w:tcW w:w="2835" w:type="dxa"/>
          </w:tcPr>
          <w:p w14:paraId="5B021567" w14:textId="77777777" w:rsidR="00787746" w:rsidRPr="007B7F5B" w:rsidRDefault="00E1262F" w:rsidP="00C6717E">
            <w:pPr>
              <w:rPr>
                <w:rFonts w:ascii="Calibri" w:hAnsi="Calibri"/>
                <w:b/>
                <w:sz w:val="22"/>
              </w:rPr>
            </w:pPr>
            <w:r>
              <w:rPr>
                <w:rFonts w:ascii="Calibri" w:hAnsi="Calibri"/>
                <w:b/>
                <w:sz w:val="22"/>
              </w:rPr>
              <w:t>Beleggingscategorie</w:t>
            </w:r>
          </w:p>
        </w:tc>
        <w:tc>
          <w:tcPr>
            <w:tcW w:w="1843" w:type="dxa"/>
          </w:tcPr>
          <w:p w14:paraId="79FBE622" w14:textId="77777777" w:rsidR="00787746" w:rsidRPr="007B7F5B" w:rsidRDefault="00787746" w:rsidP="00C6717E">
            <w:pPr>
              <w:rPr>
                <w:rFonts w:ascii="Calibri" w:hAnsi="Calibri"/>
                <w:b/>
                <w:sz w:val="22"/>
              </w:rPr>
            </w:pPr>
            <w:r w:rsidRPr="007B7F5B">
              <w:rPr>
                <w:rFonts w:ascii="Calibri" w:hAnsi="Calibri"/>
                <w:b/>
                <w:sz w:val="22"/>
              </w:rPr>
              <w:t>Bandbreedte</w:t>
            </w:r>
          </w:p>
        </w:tc>
        <w:tc>
          <w:tcPr>
            <w:tcW w:w="4389" w:type="dxa"/>
          </w:tcPr>
          <w:p w14:paraId="4FB89EC3" w14:textId="77777777" w:rsidR="00787746" w:rsidRPr="007B7F5B" w:rsidRDefault="009D08B2" w:rsidP="00C6717E">
            <w:pPr>
              <w:rPr>
                <w:rFonts w:ascii="Calibri" w:hAnsi="Calibri"/>
                <w:b/>
                <w:sz w:val="22"/>
              </w:rPr>
            </w:pPr>
            <w:r>
              <w:rPr>
                <w:rFonts w:ascii="Calibri" w:hAnsi="Calibri"/>
                <w:b/>
                <w:sz w:val="22"/>
              </w:rPr>
              <w:t>Benchmark</w:t>
            </w:r>
          </w:p>
        </w:tc>
      </w:tr>
      <w:tr w:rsidR="00787746" w:rsidRPr="007B7F5B" w14:paraId="01C7CB39" w14:textId="77777777" w:rsidTr="00FC2465">
        <w:tc>
          <w:tcPr>
            <w:tcW w:w="2835" w:type="dxa"/>
          </w:tcPr>
          <w:p w14:paraId="7E20039B" w14:textId="77777777" w:rsidR="00787746" w:rsidRPr="007B7F5B" w:rsidRDefault="00787746" w:rsidP="00C6717E">
            <w:pPr>
              <w:rPr>
                <w:rFonts w:ascii="Calibri" w:hAnsi="Calibri"/>
                <w:b/>
                <w:sz w:val="22"/>
              </w:rPr>
            </w:pPr>
          </w:p>
        </w:tc>
        <w:tc>
          <w:tcPr>
            <w:tcW w:w="1843" w:type="dxa"/>
          </w:tcPr>
          <w:p w14:paraId="2D374154" w14:textId="77777777" w:rsidR="00787746" w:rsidRPr="007B7F5B" w:rsidRDefault="00787746" w:rsidP="00C6717E">
            <w:pPr>
              <w:rPr>
                <w:rFonts w:ascii="Calibri" w:hAnsi="Calibri"/>
                <w:b/>
                <w:sz w:val="22"/>
              </w:rPr>
            </w:pPr>
          </w:p>
        </w:tc>
        <w:tc>
          <w:tcPr>
            <w:tcW w:w="4389" w:type="dxa"/>
          </w:tcPr>
          <w:p w14:paraId="3BD1FC46" w14:textId="77777777" w:rsidR="00787746" w:rsidRPr="007B7F5B" w:rsidRDefault="00787746" w:rsidP="00C6717E">
            <w:pPr>
              <w:rPr>
                <w:rFonts w:ascii="Calibri" w:hAnsi="Calibri"/>
                <w:b/>
                <w:sz w:val="22"/>
              </w:rPr>
            </w:pPr>
          </w:p>
        </w:tc>
      </w:tr>
      <w:tr w:rsidR="00787746" w:rsidRPr="005060F1" w14:paraId="37DA0808" w14:textId="77777777" w:rsidTr="00FC2465">
        <w:tc>
          <w:tcPr>
            <w:tcW w:w="2835" w:type="dxa"/>
          </w:tcPr>
          <w:p w14:paraId="68CBE940" w14:textId="77777777" w:rsidR="00787746" w:rsidRPr="007B7F5B" w:rsidRDefault="009D08B2" w:rsidP="00C6717E">
            <w:pPr>
              <w:rPr>
                <w:rFonts w:ascii="Calibri" w:hAnsi="Calibri"/>
                <w:sz w:val="22"/>
              </w:rPr>
            </w:pPr>
            <w:r>
              <w:rPr>
                <w:rFonts w:ascii="Calibri" w:hAnsi="Calibri"/>
                <w:sz w:val="22"/>
              </w:rPr>
              <w:t>Aandelen</w:t>
            </w:r>
          </w:p>
        </w:tc>
        <w:tc>
          <w:tcPr>
            <w:tcW w:w="1843" w:type="dxa"/>
          </w:tcPr>
          <w:p w14:paraId="71C02825" w14:textId="77777777" w:rsidR="00787746" w:rsidRPr="007B7F5B" w:rsidRDefault="009D08B2" w:rsidP="003E05DD">
            <w:pPr>
              <w:rPr>
                <w:rFonts w:ascii="Calibri" w:hAnsi="Calibri"/>
                <w:sz w:val="22"/>
              </w:rPr>
            </w:pPr>
            <w:r>
              <w:rPr>
                <w:rFonts w:ascii="Calibri" w:hAnsi="Calibri"/>
                <w:sz w:val="22"/>
              </w:rPr>
              <w:t>10</w:t>
            </w:r>
            <w:r w:rsidR="00787746" w:rsidRPr="007B7F5B">
              <w:rPr>
                <w:rFonts w:ascii="Calibri" w:hAnsi="Calibri"/>
                <w:sz w:val="22"/>
              </w:rPr>
              <w:t xml:space="preserve"> – </w:t>
            </w:r>
            <w:r>
              <w:rPr>
                <w:rFonts w:ascii="Calibri" w:hAnsi="Calibri"/>
                <w:sz w:val="22"/>
              </w:rPr>
              <w:t>3</w:t>
            </w:r>
            <w:r w:rsidR="00787746" w:rsidRPr="007B7F5B">
              <w:rPr>
                <w:rFonts w:ascii="Calibri" w:hAnsi="Calibri"/>
                <w:sz w:val="22"/>
              </w:rPr>
              <w:t>0%</w:t>
            </w:r>
          </w:p>
        </w:tc>
        <w:tc>
          <w:tcPr>
            <w:tcW w:w="4389" w:type="dxa"/>
          </w:tcPr>
          <w:p w14:paraId="73D119DC" w14:textId="77777777" w:rsidR="00787746" w:rsidRPr="00D65A1A" w:rsidRDefault="009D08B2" w:rsidP="00C6717E">
            <w:pPr>
              <w:rPr>
                <w:rFonts w:ascii="Calibri" w:hAnsi="Calibri"/>
                <w:sz w:val="22"/>
                <w:lang w:val="en-US"/>
              </w:rPr>
            </w:pPr>
            <w:r w:rsidRPr="00D65A1A">
              <w:rPr>
                <w:rFonts w:ascii="Calibri" w:hAnsi="Calibri"/>
                <w:sz w:val="22"/>
                <w:lang w:val="en-US"/>
              </w:rPr>
              <w:t>2</w:t>
            </w:r>
            <w:r w:rsidR="00787746" w:rsidRPr="00D65A1A">
              <w:rPr>
                <w:rFonts w:ascii="Calibri" w:hAnsi="Calibri"/>
                <w:sz w:val="22"/>
                <w:lang w:val="en-US"/>
              </w:rPr>
              <w:t>0%</w:t>
            </w:r>
            <w:r w:rsidR="000F0BA2" w:rsidRPr="00D65A1A">
              <w:rPr>
                <w:rFonts w:ascii="Calibri" w:hAnsi="Calibri"/>
                <w:sz w:val="22"/>
                <w:lang w:val="en-US"/>
              </w:rPr>
              <w:t xml:space="preserve"> MSCI World Index Net Return EUR</w:t>
            </w:r>
          </w:p>
        </w:tc>
      </w:tr>
      <w:tr w:rsidR="00787746" w:rsidRPr="005060F1" w14:paraId="693400EF" w14:textId="77777777" w:rsidTr="00FC2465">
        <w:tc>
          <w:tcPr>
            <w:tcW w:w="2835" w:type="dxa"/>
          </w:tcPr>
          <w:p w14:paraId="4272DF2B" w14:textId="77777777" w:rsidR="00787746" w:rsidRPr="007B7F5B" w:rsidRDefault="009D08B2" w:rsidP="00C6717E">
            <w:pPr>
              <w:rPr>
                <w:rFonts w:ascii="Calibri" w:hAnsi="Calibri"/>
                <w:sz w:val="22"/>
              </w:rPr>
            </w:pPr>
            <w:r>
              <w:rPr>
                <w:rFonts w:ascii="Calibri" w:hAnsi="Calibri"/>
                <w:sz w:val="22"/>
              </w:rPr>
              <w:t>Obligaties</w:t>
            </w:r>
            <w:r w:rsidR="00787746" w:rsidRPr="007B7F5B">
              <w:rPr>
                <w:rFonts w:ascii="Calibri" w:hAnsi="Calibri"/>
                <w:sz w:val="22"/>
              </w:rPr>
              <w:t xml:space="preserve"> </w:t>
            </w:r>
          </w:p>
        </w:tc>
        <w:tc>
          <w:tcPr>
            <w:tcW w:w="1843" w:type="dxa"/>
          </w:tcPr>
          <w:p w14:paraId="4BE83A4E" w14:textId="77777777" w:rsidR="00787746" w:rsidRPr="007B7F5B" w:rsidRDefault="009D08B2" w:rsidP="003E05DD">
            <w:pPr>
              <w:rPr>
                <w:rFonts w:ascii="Calibri" w:hAnsi="Calibri"/>
                <w:sz w:val="22"/>
              </w:rPr>
            </w:pPr>
            <w:r>
              <w:rPr>
                <w:rFonts w:ascii="Calibri" w:hAnsi="Calibri"/>
                <w:sz w:val="22"/>
              </w:rPr>
              <w:t>5</w:t>
            </w:r>
            <w:r w:rsidR="00787746" w:rsidRPr="007B7F5B">
              <w:rPr>
                <w:rFonts w:ascii="Calibri" w:hAnsi="Calibri"/>
                <w:sz w:val="22"/>
              </w:rPr>
              <w:t xml:space="preserve">0 – </w:t>
            </w:r>
            <w:r>
              <w:rPr>
                <w:rFonts w:ascii="Calibri" w:hAnsi="Calibri"/>
                <w:sz w:val="22"/>
              </w:rPr>
              <w:t>9</w:t>
            </w:r>
            <w:r w:rsidR="00787746" w:rsidRPr="007B7F5B">
              <w:rPr>
                <w:rFonts w:ascii="Calibri" w:hAnsi="Calibri"/>
                <w:sz w:val="22"/>
              </w:rPr>
              <w:t>0%</w:t>
            </w:r>
          </w:p>
        </w:tc>
        <w:tc>
          <w:tcPr>
            <w:tcW w:w="4389" w:type="dxa"/>
          </w:tcPr>
          <w:p w14:paraId="27119954" w14:textId="77777777" w:rsidR="00787746" w:rsidRPr="00D65A1A" w:rsidRDefault="009D08B2" w:rsidP="00C6717E">
            <w:pPr>
              <w:rPr>
                <w:rFonts w:ascii="Calibri" w:hAnsi="Calibri"/>
                <w:sz w:val="22"/>
                <w:lang w:val="en-US"/>
              </w:rPr>
            </w:pPr>
            <w:r w:rsidRPr="00D65A1A">
              <w:rPr>
                <w:rFonts w:ascii="Calibri" w:hAnsi="Calibri"/>
                <w:sz w:val="22"/>
                <w:lang w:val="en-US"/>
              </w:rPr>
              <w:t>8</w:t>
            </w:r>
            <w:r w:rsidR="00787746" w:rsidRPr="00D65A1A">
              <w:rPr>
                <w:rFonts w:ascii="Calibri" w:hAnsi="Calibri"/>
                <w:sz w:val="22"/>
                <w:lang w:val="en-US"/>
              </w:rPr>
              <w:t>0%</w:t>
            </w:r>
            <w:r w:rsidR="000F0BA2" w:rsidRPr="00D65A1A">
              <w:rPr>
                <w:rFonts w:ascii="Calibri" w:hAnsi="Calibri"/>
                <w:sz w:val="22"/>
                <w:lang w:val="en-US"/>
              </w:rPr>
              <w:t xml:space="preserve"> Barclays Euro Aggregate 500M Index Total return</w:t>
            </w:r>
          </w:p>
        </w:tc>
      </w:tr>
      <w:tr w:rsidR="009D08B2" w:rsidRPr="007B7F5B" w14:paraId="4BC2A838" w14:textId="77777777" w:rsidTr="00FC2465">
        <w:tc>
          <w:tcPr>
            <w:tcW w:w="2835" w:type="dxa"/>
          </w:tcPr>
          <w:p w14:paraId="0B14AD5D" w14:textId="77777777" w:rsidR="009D08B2" w:rsidRDefault="009D08B2" w:rsidP="00C6717E">
            <w:pPr>
              <w:rPr>
                <w:rFonts w:ascii="Calibri" w:hAnsi="Calibri"/>
                <w:sz w:val="22"/>
              </w:rPr>
            </w:pPr>
            <w:r>
              <w:rPr>
                <w:rFonts w:ascii="Calibri" w:hAnsi="Calibri"/>
                <w:sz w:val="22"/>
              </w:rPr>
              <w:t>Liquiditeiten</w:t>
            </w:r>
          </w:p>
        </w:tc>
        <w:tc>
          <w:tcPr>
            <w:tcW w:w="1843" w:type="dxa"/>
          </w:tcPr>
          <w:p w14:paraId="334B88C6" w14:textId="77777777" w:rsidR="009D08B2" w:rsidRPr="007B7F5B" w:rsidRDefault="009D08B2" w:rsidP="003E05DD">
            <w:pPr>
              <w:rPr>
                <w:rFonts w:ascii="Calibri" w:hAnsi="Calibri"/>
                <w:sz w:val="22"/>
              </w:rPr>
            </w:pPr>
            <w:r>
              <w:rPr>
                <w:rFonts w:ascii="Calibri" w:hAnsi="Calibri"/>
                <w:sz w:val="22"/>
              </w:rPr>
              <w:t>0 – 50%</w:t>
            </w:r>
          </w:p>
        </w:tc>
        <w:tc>
          <w:tcPr>
            <w:tcW w:w="4389" w:type="dxa"/>
          </w:tcPr>
          <w:p w14:paraId="73CAF269" w14:textId="77777777" w:rsidR="009D08B2" w:rsidRPr="007B7F5B" w:rsidRDefault="009D08B2" w:rsidP="00C6717E">
            <w:pPr>
              <w:rPr>
                <w:rFonts w:ascii="Calibri" w:hAnsi="Calibri"/>
                <w:sz w:val="22"/>
              </w:rPr>
            </w:pPr>
            <w:r>
              <w:rPr>
                <w:rFonts w:ascii="Calibri" w:hAnsi="Calibri"/>
                <w:sz w:val="22"/>
              </w:rPr>
              <w:t>0%</w:t>
            </w:r>
          </w:p>
        </w:tc>
      </w:tr>
      <w:tr w:rsidR="00B6115F" w:rsidRPr="00B6115F" w14:paraId="4C220DBB" w14:textId="77777777" w:rsidTr="00FC2465">
        <w:tc>
          <w:tcPr>
            <w:tcW w:w="2835" w:type="dxa"/>
          </w:tcPr>
          <w:p w14:paraId="51771F18" w14:textId="0276688A" w:rsidR="00253CCB" w:rsidRPr="00B6115F" w:rsidRDefault="00FC2465" w:rsidP="00C6717E">
            <w:pPr>
              <w:rPr>
                <w:rFonts w:ascii="Calibri" w:hAnsi="Calibri"/>
                <w:sz w:val="22"/>
              </w:rPr>
            </w:pPr>
            <w:r w:rsidRPr="00B6115F">
              <w:rPr>
                <w:rFonts w:ascii="Calibri" w:hAnsi="Calibri"/>
                <w:sz w:val="22"/>
              </w:rPr>
              <w:t xml:space="preserve">High </w:t>
            </w:r>
            <w:proofErr w:type="spellStart"/>
            <w:r w:rsidRPr="00B6115F">
              <w:rPr>
                <w:rFonts w:ascii="Calibri" w:hAnsi="Calibri"/>
                <w:sz w:val="22"/>
              </w:rPr>
              <w:t>Yield</w:t>
            </w:r>
            <w:proofErr w:type="spellEnd"/>
            <w:r w:rsidRPr="00B6115F">
              <w:rPr>
                <w:rFonts w:ascii="Calibri" w:hAnsi="Calibri"/>
                <w:sz w:val="22"/>
              </w:rPr>
              <w:t xml:space="preserve"> (uitsluitend </w:t>
            </w:r>
            <w:r w:rsidR="00253CCB" w:rsidRPr="00B6115F">
              <w:rPr>
                <w:rFonts w:ascii="Calibri" w:hAnsi="Calibri"/>
                <w:sz w:val="22"/>
              </w:rPr>
              <w:t>Microkredieten</w:t>
            </w:r>
            <w:r w:rsidR="00B6115F">
              <w:rPr>
                <w:rFonts w:ascii="Calibri" w:hAnsi="Calibri"/>
                <w:sz w:val="22"/>
              </w:rPr>
              <w:t>)</w:t>
            </w:r>
          </w:p>
        </w:tc>
        <w:tc>
          <w:tcPr>
            <w:tcW w:w="1843" w:type="dxa"/>
          </w:tcPr>
          <w:p w14:paraId="61F0B688" w14:textId="25664828" w:rsidR="00253CCB" w:rsidRPr="00B6115F" w:rsidRDefault="00253CCB" w:rsidP="003E05DD">
            <w:pPr>
              <w:rPr>
                <w:rFonts w:ascii="Calibri" w:hAnsi="Calibri"/>
                <w:sz w:val="22"/>
              </w:rPr>
            </w:pPr>
            <w:r w:rsidRPr="00B6115F">
              <w:rPr>
                <w:rFonts w:ascii="Calibri" w:hAnsi="Calibri"/>
                <w:sz w:val="22"/>
              </w:rPr>
              <w:t>0 – 5%</w:t>
            </w:r>
          </w:p>
        </w:tc>
        <w:tc>
          <w:tcPr>
            <w:tcW w:w="4389" w:type="dxa"/>
          </w:tcPr>
          <w:p w14:paraId="6A975EF0" w14:textId="51A6DD22" w:rsidR="00253CCB" w:rsidRPr="00B6115F" w:rsidRDefault="00FC2465" w:rsidP="00C6717E">
            <w:pPr>
              <w:rPr>
                <w:rFonts w:ascii="Calibri" w:hAnsi="Calibri"/>
                <w:sz w:val="22"/>
              </w:rPr>
            </w:pPr>
            <w:r w:rsidRPr="00B6115F">
              <w:rPr>
                <w:rFonts w:ascii="Calibri" w:hAnsi="Calibri"/>
                <w:sz w:val="22"/>
              </w:rPr>
              <w:t>0%</w:t>
            </w:r>
          </w:p>
        </w:tc>
      </w:tr>
    </w:tbl>
    <w:p w14:paraId="05BC52C6" w14:textId="77777777" w:rsidR="00787746" w:rsidRDefault="00787746">
      <w:pPr>
        <w:rPr>
          <w:rFonts w:ascii="Calibri" w:hAnsi="Calibri"/>
          <w:b/>
          <w:sz w:val="22"/>
        </w:rPr>
      </w:pPr>
    </w:p>
    <w:p w14:paraId="0101659A" w14:textId="3FC5A162" w:rsidR="000426D8" w:rsidRPr="000847DC" w:rsidRDefault="00784C8D" w:rsidP="000847DC">
      <w:pPr>
        <w:pStyle w:val="Tekstopmerking"/>
        <w:rPr>
          <w:rFonts w:asciiTheme="minorHAnsi" w:hAnsiTheme="minorHAnsi"/>
          <w:iCs/>
          <w:sz w:val="22"/>
          <w:szCs w:val="22"/>
        </w:rPr>
      </w:pP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r w:rsidR="000426D8" w:rsidRPr="000847DC">
        <w:rPr>
          <w:rFonts w:asciiTheme="minorHAnsi" w:hAnsiTheme="minorHAnsi"/>
          <w:sz w:val="22"/>
          <w:szCs w:val="22"/>
        </w:rPr>
        <w:t>De Beheerder is gehouden aan de strategische activaverdeling. De beheerder kan naar inzicht gebruik maken van de bandbreedtes om uiting te geven aan de tactische invulling.</w:t>
      </w:r>
      <w:r w:rsidR="000847DC" w:rsidRPr="000847DC">
        <w:rPr>
          <w:rFonts w:asciiTheme="minorHAnsi" w:hAnsiTheme="minorHAnsi"/>
          <w:sz w:val="22"/>
          <w:szCs w:val="22"/>
        </w:rPr>
        <w:t xml:space="preserve"> </w:t>
      </w:r>
      <w:r w:rsidR="000426D8" w:rsidRPr="000847DC">
        <w:rPr>
          <w:rFonts w:asciiTheme="minorHAnsi" w:hAnsiTheme="minorHAnsi"/>
          <w:sz w:val="22"/>
          <w:szCs w:val="22"/>
        </w:rPr>
        <w:t>Mochten er moverende redenen zijn hier (tijdelijk) van af te wijken, dan zullen de stichting en de Beheerder met elkaar in overleg treden</w:t>
      </w:r>
    </w:p>
    <w:p w14:paraId="734CB909" w14:textId="77777777" w:rsidR="000426D8" w:rsidRDefault="000426D8" w:rsidP="004E63FB">
      <w:pPr>
        <w:ind w:left="708"/>
        <w:rPr>
          <w:rFonts w:ascii="Calibri" w:hAnsi="Calibri"/>
          <w:iCs/>
          <w:sz w:val="22"/>
        </w:rPr>
      </w:pPr>
    </w:p>
    <w:p w14:paraId="77DA453F" w14:textId="77777777" w:rsidR="00866BF9" w:rsidRDefault="00866BF9" w:rsidP="00A60E2C">
      <w:pPr>
        <w:rPr>
          <w:rFonts w:ascii="Calibri" w:hAnsi="Calibri"/>
          <w:iCs/>
          <w:sz w:val="22"/>
        </w:rPr>
      </w:pPr>
    </w:p>
    <w:p w14:paraId="00F5620A" w14:textId="77777777" w:rsidR="00866BF9" w:rsidRDefault="00866BF9" w:rsidP="00A60E2C">
      <w:pPr>
        <w:rPr>
          <w:rFonts w:ascii="Calibri" w:hAnsi="Calibri"/>
          <w:iCs/>
          <w:sz w:val="22"/>
        </w:rPr>
      </w:pPr>
    </w:p>
    <w:p w14:paraId="24C03505" w14:textId="73011CF6" w:rsidR="004E63FB" w:rsidRDefault="000F0BA2" w:rsidP="00A60E2C">
      <w:r w:rsidRPr="000F0BA2">
        <w:rPr>
          <w:rFonts w:ascii="Calibri" w:hAnsi="Calibri"/>
          <w:iCs/>
          <w:sz w:val="22"/>
        </w:rPr>
        <w:lastRenderedPageBreak/>
        <w:t xml:space="preserve">Bij </w:t>
      </w:r>
      <w:r w:rsidR="000426D8">
        <w:rPr>
          <w:rFonts w:ascii="Calibri" w:hAnsi="Calibri"/>
          <w:iCs/>
          <w:sz w:val="22"/>
        </w:rPr>
        <w:t xml:space="preserve">een vermoeden </w:t>
      </w:r>
      <w:r w:rsidR="000426D8" w:rsidRPr="00A60E2C">
        <w:rPr>
          <w:rFonts w:ascii="Calibri" w:hAnsi="Calibri"/>
          <w:iCs/>
          <w:sz w:val="22"/>
        </w:rPr>
        <w:t xml:space="preserve">van </w:t>
      </w:r>
      <w:r w:rsidRPr="00A60E2C">
        <w:rPr>
          <w:rFonts w:ascii="Calibri" w:hAnsi="Calibri"/>
          <w:iCs/>
          <w:sz w:val="22"/>
        </w:rPr>
        <w:t>dreigende overschrijding van</w:t>
      </w:r>
      <w:r w:rsidRPr="000F0BA2">
        <w:rPr>
          <w:rFonts w:ascii="Calibri" w:hAnsi="Calibri"/>
          <w:iCs/>
          <w:sz w:val="22"/>
        </w:rPr>
        <w:t xml:space="preserve"> de tactische bandbreedtes als gevolg van incidentele abrupte</w:t>
      </w:r>
      <w:r>
        <w:rPr>
          <w:rFonts w:ascii="Calibri" w:hAnsi="Calibri"/>
          <w:iCs/>
          <w:sz w:val="22"/>
        </w:rPr>
        <w:t xml:space="preserve"> </w:t>
      </w:r>
      <w:r w:rsidRPr="000F0BA2">
        <w:rPr>
          <w:rFonts w:ascii="Calibri" w:hAnsi="Calibri"/>
          <w:iCs/>
          <w:sz w:val="22"/>
        </w:rPr>
        <w:t xml:space="preserve">marktontwikkelingen zal de Beheerder direct in overleg treden met het bestuur van de </w:t>
      </w:r>
      <w:r w:rsidR="00D42607">
        <w:rPr>
          <w:rFonts w:ascii="Calibri" w:hAnsi="Calibri"/>
          <w:iCs/>
          <w:sz w:val="22"/>
        </w:rPr>
        <w:t>............</w:t>
      </w:r>
      <w:r w:rsidRPr="000F0BA2">
        <w:rPr>
          <w:rFonts w:ascii="Calibri" w:hAnsi="Calibri"/>
          <w:iCs/>
          <w:sz w:val="22"/>
        </w:rPr>
        <w:t>.</w:t>
      </w:r>
      <w:r>
        <w:rPr>
          <w:rFonts w:ascii="Calibri" w:hAnsi="Calibri"/>
          <w:iCs/>
          <w:sz w:val="22"/>
        </w:rPr>
        <w:t xml:space="preserve"> </w:t>
      </w:r>
      <w:r w:rsidR="000426D8">
        <w:rPr>
          <w:rFonts w:ascii="Calibri" w:hAnsi="Calibri"/>
          <w:iCs/>
          <w:sz w:val="22"/>
        </w:rPr>
        <w:t xml:space="preserve">Het bestuur zal in deze gevallen de Financiële Audit Commissie direct informeren. </w:t>
      </w:r>
      <w:r w:rsidRPr="000F0BA2">
        <w:rPr>
          <w:rFonts w:ascii="Calibri" w:hAnsi="Calibri"/>
          <w:iCs/>
          <w:sz w:val="22"/>
        </w:rPr>
        <w:t xml:space="preserve">Indien het bestuur in voorkomende gevallen zou besluiten (tijdelijk) </w:t>
      </w:r>
      <w:r>
        <w:rPr>
          <w:rFonts w:ascii="Calibri" w:hAnsi="Calibri"/>
          <w:iCs/>
          <w:sz w:val="22"/>
        </w:rPr>
        <w:t>a</w:t>
      </w:r>
      <w:r w:rsidRPr="000F0BA2">
        <w:rPr>
          <w:rFonts w:ascii="Calibri" w:hAnsi="Calibri"/>
          <w:iCs/>
          <w:sz w:val="22"/>
        </w:rPr>
        <w:t>f te willen</w:t>
      </w:r>
      <w:r>
        <w:rPr>
          <w:rFonts w:ascii="Calibri" w:hAnsi="Calibri"/>
          <w:iCs/>
          <w:sz w:val="22"/>
        </w:rPr>
        <w:t xml:space="preserve"> </w:t>
      </w:r>
      <w:r w:rsidRPr="000F0BA2">
        <w:rPr>
          <w:rFonts w:ascii="Calibri" w:hAnsi="Calibri"/>
          <w:iCs/>
          <w:sz w:val="22"/>
        </w:rPr>
        <w:t>wijken van genoemde bandbreedtes, zal deze dat onverwijld schriftelijk bevestigen aan de Beheerder</w:t>
      </w:r>
      <w:r w:rsidR="00253CCB">
        <w:rPr>
          <w:rFonts w:ascii="Calibri" w:hAnsi="Calibri"/>
          <w:iCs/>
          <w:sz w:val="22"/>
        </w:rPr>
        <w:t>.</w:t>
      </w:r>
    </w:p>
    <w:p w14:paraId="16415ACD" w14:textId="77777777" w:rsidR="00E0722E" w:rsidRDefault="00E0722E" w:rsidP="00375C71">
      <w:pPr>
        <w:rPr>
          <w:rFonts w:ascii="Calibri" w:hAnsi="Calibri"/>
          <w:b/>
          <w:sz w:val="22"/>
        </w:rPr>
      </w:pPr>
    </w:p>
    <w:p w14:paraId="64452CC8" w14:textId="2DCA3A8B" w:rsidR="00787746" w:rsidRPr="007B7F5B" w:rsidRDefault="002228D0" w:rsidP="00375C71">
      <w:pPr>
        <w:rPr>
          <w:rFonts w:ascii="Calibri" w:hAnsi="Calibri"/>
          <w:sz w:val="22"/>
        </w:rPr>
      </w:pPr>
      <w:r>
        <w:rPr>
          <w:rFonts w:ascii="Calibri" w:hAnsi="Calibri"/>
          <w:b/>
          <w:sz w:val="22"/>
        </w:rPr>
        <w:t>3</w:t>
      </w:r>
      <w:r w:rsidR="009A23A5">
        <w:rPr>
          <w:rFonts w:ascii="Calibri" w:hAnsi="Calibri"/>
          <w:b/>
          <w:sz w:val="22"/>
        </w:rPr>
        <w:t>.</w:t>
      </w:r>
      <w:r w:rsidR="00E0722E">
        <w:rPr>
          <w:rFonts w:ascii="Calibri" w:hAnsi="Calibri"/>
          <w:b/>
          <w:sz w:val="22"/>
        </w:rPr>
        <w:t>2</w:t>
      </w:r>
      <w:r w:rsidR="00787746" w:rsidRPr="007B7F5B">
        <w:rPr>
          <w:rFonts w:ascii="Calibri" w:hAnsi="Calibri"/>
          <w:b/>
          <w:sz w:val="22"/>
        </w:rPr>
        <w:t xml:space="preserve"> Vastrentende waarden</w:t>
      </w:r>
    </w:p>
    <w:p w14:paraId="4CD3EB58" w14:textId="77777777" w:rsidR="00787746" w:rsidRPr="007B7F5B" w:rsidRDefault="00787746" w:rsidP="00375C71">
      <w:pPr>
        <w:rPr>
          <w:rFonts w:ascii="Calibri" w:hAnsi="Calibri"/>
          <w:sz w:val="22"/>
        </w:rPr>
      </w:pPr>
    </w:p>
    <w:p w14:paraId="78F85E04" w14:textId="77777777" w:rsidR="00787746" w:rsidRPr="007B7F5B" w:rsidRDefault="00787746" w:rsidP="00375C71">
      <w:pPr>
        <w:rPr>
          <w:rFonts w:ascii="Calibri" w:hAnsi="Calibri"/>
          <w:iCs/>
          <w:sz w:val="22"/>
        </w:rPr>
      </w:pPr>
      <w:r w:rsidRPr="007B7F5B">
        <w:rPr>
          <w:rFonts w:ascii="Calibri" w:hAnsi="Calibri"/>
          <w:iCs/>
          <w:sz w:val="22"/>
        </w:rPr>
        <w:t>Obligaties dienen geselecteerd te worden op basis van effectief rendement, de krediet</w:t>
      </w:r>
      <w:r w:rsidRPr="007B7F5B">
        <w:rPr>
          <w:rFonts w:ascii="Calibri" w:hAnsi="Calibri"/>
          <w:iCs/>
          <w:sz w:val="22"/>
        </w:rPr>
        <w:softHyphen/>
        <w:t>waardig</w:t>
      </w:r>
      <w:r w:rsidRPr="007B7F5B">
        <w:rPr>
          <w:rFonts w:ascii="Calibri" w:hAnsi="Calibri"/>
          <w:iCs/>
          <w:sz w:val="22"/>
        </w:rPr>
        <w:softHyphen/>
        <w:t>heid van de uitgevende partij, valuta en verhandelbaarheid. Daarnaast dient er voldoende spreiding in de obligatieportefeuille te zijn om de negatieve invloed van eventuele wan</w:t>
      </w:r>
      <w:r w:rsidRPr="007B7F5B">
        <w:rPr>
          <w:rFonts w:ascii="Calibri" w:hAnsi="Calibri"/>
          <w:iCs/>
          <w:sz w:val="22"/>
        </w:rPr>
        <w:softHyphen/>
        <w:t xml:space="preserve">betalingen te beperken. </w:t>
      </w:r>
      <w:r w:rsidR="00F7343C">
        <w:rPr>
          <w:rFonts w:ascii="Calibri" w:hAnsi="Calibri"/>
          <w:iCs/>
          <w:sz w:val="22"/>
        </w:rPr>
        <w:t>B</w:t>
      </w:r>
      <w:r w:rsidR="00F7343C" w:rsidRPr="007B7F5B">
        <w:rPr>
          <w:rFonts w:ascii="Calibri" w:hAnsi="Calibri"/>
          <w:iCs/>
          <w:sz w:val="22"/>
        </w:rPr>
        <w:t>ij de samenstelling van het obligatie</w:t>
      </w:r>
      <w:r w:rsidR="00F7343C" w:rsidRPr="007B7F5B">
        <w:rPr>
          <w:rFonts w:ascii="Calibri" w:hAnsi="Calibri"/>
          <w:iCs/>
          <w:sz w:val="22"/>
        </w:rPr>
        <w:softHyphen/>
        <w:t xml:space="preserve">gedeelte in de portefeuille </w:t>
      </w:r>
      <w:r w:rsidR="00F7343C">
        <w:rPr>
          <w:rFonts w:ascii="Calibri" w:hAnsi="Calibri"/>
          <w:iCs/>
          <w:sz w:val="22"/>
        </w:rPr>
        <w:t>dienen d</w:t>
      </w:r>
      <w:r w:rsidRPr="007B7F5B">
        <w:rPr>
          <w:rFonts w:ascii="Calibri" w:hAnsi="Calibri"/>
          <w:iCs/>
          <w:sz w:val="22"/>
        </w:rPr>
        <w:t>e volgende richtlijnen gevolgd te worden:</w:t>
      </w:r>
    </w:p>
    <w:p w14:paraId="6B3BB17E" w14:textId="77777777" w:rsidR="00787746" w:rsidRPr="007B7F5B" w:rsidRDefault="00787746" w:rsidP="00375C71">
      <w:pPr>
        <w:rPr>
          <w:rFonts w:ascii="Calibri" w:hAnsi="Calibri"/>
          <w:iCs/>
          <w:sz w:val="22"/>
        </w:rPr>
      </w:pPr>
    </w:p>
    <w:p w14:paraId="6C151A4B" w14:textId="77777777" w:rsidR="00787746" w:rsidRPr="00FC6E1A" w:rsidRDefault="00787746" w:rsidP="00FC6E1A">
      <w:pPr>
        <w:pStyle w:val="Lijstalinea"/>
        <w:numPr>
          <w:ilvl w:val="0"/>
          <w:numId w:val="24"/>
        </w:numPr>
        <w:rPr>
          <w:rFonts w:ascii="Calibri" w:hAnsi="Calibri"/>
          <w:iCs/>
          <w:sz w:val="22"/>
        </w:rPr>
      </w:pPr>
      <w:r w:rsidRPr="00FC6E1A">
        <w:rPr>
          <w:rFonts w:ascii="Calibri" w:hAnsi="Calibri"/>
          <w:b/>
          <w:iCs/>
          <w:sz w:val="22"/>
        </w:rPr>
        <w:t>Geen valutarisico</w:t>
      </w:r>
      <w:r w:rsidRPr="00FC6E1A">
        <w:rPr>
          <w:rFonts w:ascii="Calibri" w:hAnsi="Calibri"/>
          <w:iCs/>
          <w:sz w:val="22"/>
        </w:rPr>
        <w:t>: slechts beleggen in obligaties uitge</w:t>
      </w:r>
      <w:r w:rsidR="00F7343C">
        <w:rPr>
          <w:rFonts w:ascii="Calibri" w:hAnsi="Calibri"/>
          <w:iCs/>
          <w:sz w:val="22"/>
        </w:rPr>
        <w:t>ge</w:t>
      </w:r>
      <w:r w:rsidRPr="00FC6E1A">
        <w:rPr>
          <w:rFonts w:ascii="Calibri" w:hAnsi="Calibri"/>
          <w:iCs/>
          <w:sz w:val="22"/>
        </w:rPr>
        <w:t>ven in Euro’s.</w:t>
      </w:r>
    </w:p>
    <w:p w14:paraId="009EA244" w14:textId="77777777" w:rsidR="00FC6E1A" w:rsidRDefault="00FC6E1A" w:rsidP="00FC6E1A">
      <w:pPr>
        <w:ind w:left="720"/>
        <w:rPr>
          <w:rFonts w:ascii="Calibri" w:hAnsi="Calibri"/>
          <w:iCs/>
          <w:sz w:val="22"/>
        </w:rPr>
      </w:pPr>
    </w:p>
    <w:p w14:paraId="60C3B749" w14:textId="535546C4" w:rsidR="00FC6E1A" w:rsidRPr="00755BE5" w:rsidRDefault="00FC6E1A" w:rsidP="00FC6E1A">
      <w:pPr>
        <w:ind w:left="720"/>
        <w:rPr>
          <w:rFonts w:ascii="Calibri" w:hAnsi="Calibri"/>
          <w:b/>
          <w:iCs/>
          <w:sz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560"/>
        <w:gridCol w:w="1134"/>
        <w:gridCol w:w="1701"/>
      </w:tblGrid>
      <w:tr w:rsidR="00755BE5" w:rsidRPr="00755BE5" w14:paraId="175F9118" w14:textId="77777777" w:rsidTr="0040702C">
        <w:trPr>
          <w:cantSplit/>
        </w:trPr>
        <w:tc>
          <w:tcPr>
            <w:tcW w:w="3190" w:type="dxa"/>
            <w:gridSpan w:val="2"/>
          </w:tcPr>
          <w:p w14:paraId="4F5B4848" w14:textId="77777777" w:rsidR="00FC6E1A" w:rsidRPr="00755BE5" w:rsidRDefault="00FC6E1A" w:rsidP="0040702C">
            <w:pPr>
              <w:pStyle w:val="Geenafstand"/>
              <w:rPr>
                <w:iCs/>
              </w:rPr>
            </w:pPr>
            <w:r w:rsidRPr="00755BE5">
              <w:rPr>
                <w:iCs/>
              </w:rPr>
              <w:t>Rating</w:t>
            </w:r>
          </w:p>
          <w:p w14:paraId="7BF0D283" w14:textId="77777777" w:rsidR="00FC6E1A" w:rsidRPr="00755BE5" w:rsidRDefault="00FC6E1A" w:rsidP="0040702C">
            <w:pPr>
              <w:pStyle w:val="Geenafstand"/>
              <w:rPr>
                <w:iCs/>
              </w:rPr>
            </w:pPr>
            <w:proofErr w:type="spellStart"/>
            <w:r w:rsidRPr="00755BE5">
              <w:rPr>
                <w:iCs/>
              </w:rPr>
              <w:t>Moody’s</w:t>
            </w:r>
            <w:proofErr w:type="spellEnd"/>
            <w:r w:rsidRPr="00755BE5">
              <w:rPr>
                <w:iCs/>
              </w:rPr>
              <w:t xml:space="preserve">             S&amp;P</w:t>
            </w:r>
          </w:p>
        </w:tc>
        <w:tc>
          <w:tcPr>
            <w:tcW w:w="2835" w:type="dxa"/>
            <w:gridSpan w:val="2"/>
          </w:tcPr>
          <w:p w14:paraId="60C8DC0E" w14:textId="77777777" w:rsidR="00FC6E1A" w:rsidRPr="00755BE5" w:rsidRDefault="00FC6E1A" w:rsidP="0040702C">
            <w:pPr>
              <w:pStyle w:val="Geenafstand"/>
              <w:jc w:val="center"/>
              <w:rPr>
                <w:iCs/>
              </w:rPr>
            </w:pPr>
          </w:p>
          <w:p w14:paraId="14AEF7A7" w14:textId="77777777" w:rsidR="00FC6E1A" w:rsidRPr="00755BE5" w:rsidRDefault="00FC6E1A" w:rsidP="0040702C">
            <w:pPr>
              <w:pStyle w:val="Geenafstand"/>
              <w:jc w:val="center"/>
              <w:rPr>
                <w:iCs/>
              </w:rPr>
            </w:pPr>
            <w:r w:rsidRPr="00755BE5">
              <w:rPr>
                <w:iCs/>
              </w:rPr>
              <w:t>Minimum        Maximum</w:t>
            </w:r>
          </w:p>
        </w:tc>
      </w:tr>
      <w:tr w:rsidR="00FC6E1A" w:rsidRPr="00755BE5" w14:paraId="239B047A" w14:textId="77777777" w:rsidTr="0040702C">
        <w:tc>
          <w:tcPr>
            <w:tcW w:w="1630" w:type="dxa"/>
          </w:tcPr>
          <w:p w14:paraId="484E0DE0" w14:textId="77777777" w:rsidR="00FC6E1A" w:rsidRPr="00755BE5" w:rsidRDefault="00FC6E1A" w:rsidP="0040702C">
            <w:pPr>
              <w:pStyle w:val="Geenafstand"/>
              <w:rPr>
                <w:iCs/>
              </w:rPr>
            </w:pPr>
            <w:proofErr w:type="spellStart"/>
            <w:r w:rsidRPr="00755BE5">
              <w:rPr>
                <w:iCs/>
              </w:rPr>
              <w:t>Aaa</w:t>
            </w:r>
            <w:proofErr w:type="spellEnd"/>
          </w:p>
          <w:p w14:paraId="75772124" w14:textId="77777777" w:rsidR="00FC6E1A" w:rsidRPr="00755BE5" w:rsidRDefault="00FC6E1A" w:rsidP="0040702C">
            <w:pPr>
              <w:pStyle w:val="Geenafstand"/>
              <w:rPr>
                <w:iCs/>
              </w:rPr>
            </w:pPr>
            <w:r w:rsidRPr="00755BE5">
              <w:rPr>
                <w:iCs/>
              </w:rPr>
              <w:t>Aa1/2/3</w:t>
            </w:r>
          </w:p>
          <w:p w14:paraId="763F48F4" w14:textId="77777777" w:rsidR="00FC6E1A" w:rsidRPr="00755BE5" w:rsidRDefault="00FC6E1A" w:rsidP="0040702C">
            <w:pPr>
              <w:pStyle w:val="Geenafstand"/>
              <w:rPr>
                <w:iCs/>
              </w:rPr>
            </w:pPr>
            <w:r w:rsidRPr="00755BE5">
              <w:rPr>
                <w:iCs/>
              </w:rPr>
              <w:t>A1/2/3</w:t>
            </w:r>
          </w:p>
          <w:p w14:paraId="74DEA19D" w14:textId="77777777" w:rsidR="00FC6E1A" w:rsidRPr="00755BE5" w:rsidRDefault="00FC6E1A" w:rsidP="0040702C">
            <w:pPr>
              <w:pStyle w:val="Geenafstand"/>
              <w:rPr>
                <w:iCs/>
              </w:rPr>
            </w:pPr>
            <w:r w:rsidRPr="00755BE5">
              <w:rPr>
                <w:iCs/>
              </w:rPr>
              <w:t>Baa1/2/3</w:t>
            </w:r>
          </w:p>
          <w:p w14:paraId="1BEAF04F" w14:textId="77777777" w:rsidR="00FC6E1A" w:rsidRPr="00755BE5" w:rsidRDefault="00FC6E1A" w:rsidP="0040702C">
            <w:pPr>
              <w:pStyle w:val="Geenafstand"/>
              <w:rPr>
                <w:iCs/>
              </w:rPr>
            </w:pPr>
            <w:r w:rsidRPr="00755BE5">
              <w:rPr>
                <w:iCs/>
              </w:rPr>
              <w:t>Overig</w:t>
            </w:r>
          </w:p>
        </w:tc>
        <w:tc>
          <w:tcPr>
            <w:tcW w:w="1560" w:type="dxa"/>
          </w:tcPr>
          <w:p w14:paraId="1F11CC4F" w14:textId="77777777" w:rsidR="00FC6E1A" w:rsidRPr="00755BE5" w:rsidRDefault="00FC6E1A" w:rsidP="0040702C">
            <w:pPr>
              <w:pStyle w:val="Geenafstand"/>
              <w:rPr>
                <w:iCs/>
              </w:rPr>
            </w:pPr>
            <w:r w:rsidRPr="00755BE5">
              <w:rPr>
                <w:iCs/>
              </w:rPr>
              <w:t>AAA</w:t>
            </w:r>
          </w:p>
          <w:p w14:paraId="08D7C2BA" w14:textId="77777777" w:rsidR="00FC6E1A" w:rsidRPr="00755BE5" w:rsidRDefault="00FC6E1A" w:rsidP="0040702C">
            <w:pPr>
              <w:pStyle w:val="Geenafstand"/>
              <w:rPr>
                <w:iCs/>
              </w:rPr>
            </w:pPr>
            <w:r w:rsidRPr="00755BE5">
              <w:rPr>
                <w:iCs/>
              </w:rPr>
              <w:t>AA+/-</w:t>
            </w:r>
          </w:p>
          <w:p w14:paraId="58560CBF" w14:textId="77777777" w:rsidR="00FC6E1A" w:rsidRPr="00755BE5" w:rsidRDefault="00FC6E1A" w:rsidP="0040702C">
            <w:pPr>
              <w:pStyle w:val="Geenafstand"/>
              <w:rPr>
                <w:iCs/>
              </w:rPr>
            </w:pPr>
            <w:r w:rsidRPr="00755BE5">
              <w:rPr>
                <w:iCs/>
              </w:rPr>
              <w:t>A+/-</w:t>
            </w:r>
          </w:p>
          <w:p w14:paraId="7833D78C" w14:textId="77777777" w:rsidR="00FC6E1A" w:rsidRPr="00755BE5" w:rsidRDefault="00FC6E1A" w:rsidP="0040702C">
            <w:pPr>
              <w:pStyle w:val="Geenafstand"/>
              <w:rPr>
                <w:iCs/>
              </w:rPr>
            </w:pPr>
            <w:r w:rsidRPr="00755BE5">
              <w:rPr>
                <w:iCs/>
              </w:rPr>
              <w:t>BBB+/-</w:t>
            </w:r>
          </w:p>
          <w:p w14:paraId="77E0FFBB" w14:textId="77777777" w:rsidR="00FC6E1A" w:rsidRPr="00755BE5" w:rsidRDefault="00FC6E1A" w:rsidP="0040702C">
            <w:pPr>
              <w:pStyle w:val="Geenafstand"/>
              <w:rPr>
                <w:iCs/>
              </w:rPr>
            </w:pPr>
          </w:p>
        </w:tc>
        <w:tc>
          <w:tcPr>
            <w:tcW w:w="1134" w:type="dxa"/>
          </w:tcPr>
          <w:p w14:paraId="0DBF9C1A" w14:textId="77777777" w:rsidR="00FC6E1A" w:rsidRPr="00755BE5" w:rsidRDefault="00FC6E1A" w:rsidP="0040702C">
            <w:pPr>
              <w:pStyle w:val="Geenafstand"/>
              <w:jc w:val="center"/>
              <w:rPr>
                <w:iCs/>
              </w:rPr>
            </w:pPr>
            <w:r w:rsidRPr="00755BE5">
              <w:rPr>
                <w:iCs/>
              </w:rPr>
              <w:t>25%</w:t>
            </w:r>
          </w:p>
          <w:p w14:paraId="0AD44BF8" w14:textId="77777777" w:rsidR="00FC6E1A" w:rsidRPr="00755BE5" w:rsidRDefault="00FC6E1A" w:rsidP="0040702C">
            <w:pPr>
              <w:pStyle w:val="Geenafstand"/>
              <w:jc w:val="center"/>
              <w:rPr>
                <w:iCs/>
              </w:rPr>
            </w:pPr>
            <w:r w:rsidRPr="00755BE5">
              <w:rPr>
                <w:iCs/>
              </w:rPr>
              <w:t>50%</w:t>
            </w:r>
          </w:p>
          <w:p w14:paraId="0D731741" w14:textId="77777777" w:rsidR="00FC6E1A" w:rsidRPr="00755BE5" w:rsidRDefault="00FC6E1A" w:rsidP="0040702C">
            <w:pPr>
              <w:pStyle w:val="Geenafstand"/>
              <w:jc w:val="center"/>
              <w:rPr>
                <w:iCs/>
              </w:rPr>
            </w:pPr>
            <w:r w:rsidRPr="00755BE5">
              <w:rPr>
                <w:iCs/>
              </w:rPr>
              <w:t>0%</w:t>
            </w:r>
          </w:p>
          <w:p w14:paraId="134FC7E5" w14:textId="77777777" w:rsidR="00FC6E1A" w:rsidRPr="00755BE5" w:rsidRDefault="00FC6E1A" w:rsidP="0040702C">
            <w:pPr>
              <w:pStyle w:val="Geenafstand"/>
              <w:jc w:val="center"/>
              <w:rPr>
                <w:iCs/>
              </w:rPr>
            </w:pPr>
            <w:r w:rsidRPr="00755BE5">
              <w:rPr>
                <w:iCs/>
              </w:rPr>
              <w:t>0%</w:t>
            </w:r>
          </w:p>
          <w:p w14:paraId="76B46744" w14:textId="77777777" w:rsidR="00FC6E1A" w:rsidRPr="00755BE5" w:rsidRDefault="00FC6E1A" w:rsidP="0040702C">
            <w:pPr>
              <w:pStyle w:val="Geenafstand"/>
              <w:jc w:val="center"/>
              <w:rPr>
                <w:iCs/>
              </w:rPr>
            </w:pPr>
            <w:r w:rsidRPr="00755BE5">
              <w:rPr>
                <w:iCs/>
              </w:rPr>
              <w:t>0%</w:t>
            </w:r>
          </w:p>
        </w:tc>
        <w:tc>
          <w:tcPr>
            <w:tcW w:w="1701" w:type="dxa"/>
          </w:tcPr>
          <w:p w14:paraId="01EA9C0F" w14:textId="77777777" w:rsidR="00FC6E1A" w:rsidRPr="00755BE5" w:rsidRDefault="00FC6E1A" w:rsidP="0040702C">
            <w:pPr>
              <w:pStyle w:val="Geenafstand"/>
              <w:jc w:val="center"/>
              <w:rPr>
                <w:iCs/>
              </w:rPr>
            </w:pPr>
            <w:r w:rsidRPr="00755BE5">
              <w:rPr>
                <w:iCs/>
              </w:rPr>
              <w:t>100%</w:t>
            </w:r>
          </w:p>
          <w:p w14:paraId="2071A4C6" w14:textId="77777777" w:rsidR="00FC6E1A" w:rsidRPr="00755BE5" w:rsidRDefault="00FC6E1A" w:rsidP="0040702C">
            <w:pPr>
              <w:pStyle w:val="Geenafstand"/>
              <w:jc w:val="center"/>
              <w:rPr>
                <w:iCs/>
              </w:rPr>
            </w:pPr>
            <w:r w:rsidRPr="00755BE5">
              <w:rPr>
                <w:iCs/>
              </w:rPr>
              <w:t>75%</w:t>
            </w:r>
          </w:p>
          <w:p w14:paraId="42CAF1AF" w14:textId="77777777" w:rsidR="00FC6E1A" w:rsidRPr="00755BE5" w:rsidRDefault="00FC6E1A" w:rsidP="0040702C">
            <w:pPr>
              <w:pStyle w:val="Geenafstand"/>
              <w:jc w:val="center"/>
              <w:rPr>
                <w:iCs/>
              </w:rPr>
            </w:pPr>
            <w:r w:rsidRPr="00755BE5">
              <w:rPr>
                <w:iCs/>
              </w:rPr>
              <w:t>50%</w:t>
            </w:r>
          </w:p>
          <w:p w14:paraId="7EA6A86D" w14:textId="77777777" w:rsidR="00FC6E1A" w:rsidRPr="00755BE5" w:rsidRDefault="00FC6E1A" w:rsidP="0040702C">
            <w:pPr>
              <w:pStyle w:val="Geenafstand"/>
              <w:jc w:val="center"/>
              <w:rPr>
                <w:iCs/>
              </w:rPr>
            </w:pPr>
            <w:r w:rsidRPr="00755BE5">
              <w:rPr>
                <w:iCs/>
              </w:rPr>
              <w:t>25%</w:t>
            </w:r>
          </w:p>
          <w:p w14:paraId="5A986657" w14:textId="77777777" w:rsidR="00FC6E1A" w:rsidRPr="00755BE5" w:rsidRDefault="00FC6E1A" w:rsidP="0040702C">
            <w:pPr>
              <w:pStyle w:val="Geenafstand"/>
              <w:jc w:val="center"/>
              <w:rPr>
                <w:iCs/>
              </w:rPr>
            </w:pPr>
            <w:r w:rsidRPr="00755BE5">
              <w:rPr>
                <w:iCs/>
              </w:rPr>
              <w:t>0%</w:t>
            </w:r>
          </w:p>
        </w:tc>
      </w:tr>
    </w:tbl>
    <w:p w14:paraId="0D07933E" w14:textId="77777777" w:rsidR="00FC6E1A" w:rsidRPr="00755BE5" w:rsidRDefault="00FC6E1A" w:rsidP="00FC6E1A">
      <w:pPr>
        <w:ind w:left="720"/>
        <w:rPr>
          <w:rFonts w:ascii="Calibri" w:hAnsi="Calibri"/>
          <w:iCs/>
          <w:sz w:val="22"/>
        </w:rPr>
      </w:pPr>
    </w:p>
    <w:p w14:paraId="76A8599B" w14:textId="77777777" w:rsidR="00FC6E1A" w:rsidRPr="00755BE5" w:rsidRDefault="00FC6E1A" w:rsidP="00FC6E1A">
      <w:pPr>
        <w:ind w:left="720"/>
        <w:rPr>
          <w:rFonts w:ascii="Calibri" w:hAnsi="Calibri"/>
          <w:iCs/>
          <w:sz w:val="22"/>
        </w:rPr>
      </w:pPr>
      <w:r w:rsidRPr="00755BE5">
        <w:rPr>
          <w:rFonts w:ascii="Calibri" w:hAnsi="Calibri"/>
          <w:iCs/>
          <w:sz w:val="22"/>
        </w:rPr>
        <w:t>Voor staatsleningen geldt een minimale rating van AA.</w:t>
      </w:r>
    </w:p>
    <w:p w14:paraId="33CDFAA5" w14:textId="77777777" w:rsidR="00FC6E1A" w:rsidRPr="00FC6E1A" w:rsidRDefault="00FC6E1A" w:rsidP="00FC6E1A">
      <w:pPr>
        <w:ind w:left="720"/>
        <w:rPr>
          <w:rFonts w:ascii="Calibri" w:hAnsi="Calibri"/>
          <w:iCs/>
          <w:color w:val="FF0000"/>
          <w:sz w:val="22"/>
        </w:rPr>
      </w:pPr>
    </w:p>
    <w:p w14:paraId="6664F217" w14:textId="5C5E8D5F" w:rsidR="0026033D" w:rsidRPr="00A60E2C" w:rsidRDefault="00787746" w:rsidP="00A60E2C">
      <w:pPr>
        <w:pStyle w:val="Tekstopmerking"/>
        <w:numPr>
          <w:ilvl w:val="0"/>
          <w:numId w:val="24"/>
        </w:numPr>
        <w:rPr>
          <w:rFonts w:ascii="Calibri" w:hAnsi="Calibri"/>
          <w:iCs/>
          <w:sz w:val="22"/>
        </w:rPr>
      </w:pPr>
      <w:r w:rsidRPr="00FC6E1A">
        <w:rPr>
          <w:rFonts w:ascii="Calibri" w:hAnsi="Calibri"/>
          <w:b/>
          <w:iCs/>
          <w:sz w:val="22"/>
        </w:rPr>
        <w:t>Debiteurenspreiding</w:t>
      </w:r>
      <w:r w:rsidRPr="00FC6E1A">
        <w:rPr>
          <w:rFonts w:ascii="Calibri" w:hAnsi="Calibri"/>
          <w:iCs/>
          <w:sz w:val="22"/>
        </w:rPr>
        <w:t xml:space="preserve">: voldoende spreiding </w:t>
      </w:r>
      <w:r w:rsidR="0040702C">
        <w:rPr>
          <w:rFonts w:ascii="Calibri" w:hAnsi="Calibri"/>
          <w:iCs/>
          <w:sz w:val="22"/>
        </w:rPr>
        <w:t>over</w:t>
      </w:r>
      <w:r w:rsidR="0040702C" w:rsidRPr="00FC6E1A">
        <w:rPr>
          <w:rFonts w:ascii="Calibri" w:hAnsi="Calibri"/>
          <w:iCs/>
          <w:sz w:val="22"/>
        </w:rPr>
        <w:t xml:space="preserve"> </w:t>
      </w:r>
      <w:r w:rsidRPr="00FC6E1A">
        <w:rPr>
          <w:rFonts w:ascii="Calibri" w:hAnsi="Calibri"/>
          <w:iCs/>
          <w:sz w:val="22"/>
        </w:rPr>
        <w:t>minimaal 5 titels</w:t>
      </w:r>
      <w:r w:rsidR="00F7343C">
        <w:rPr>
          <w:rFonts w:ascii="Calibri" w:hAnsi="Calibri"/>
          <w:iCs/>
          <w:sz w:val="22"/>
        </w:rPr>
        <w:t>. G</w:t>
      </w:r>
      <w:r w:rsidRPr="00FC6E1A">
        <w:rPr>
          <w:rFonts w:ascii="Calibri" w:hAnsi="Calibri"/>
          <w:iCs/>
          <w:sz w:val="22"/>
        </w:rPr>
        <w:t xml:space="preserve">een belang groter dan 20% van de totale nominale waarde van obligaties in een debiteur met een rating gelijk of lager dan AA. Groter belang is alleen toegestaan indien de debiteur een S&amp;P- of </w:t>
      </w:r>
      <w:proofErr w:type="spellStart"/>
      <w:r w:rsidRPr="00FC6E1A">
        <w:rPr>
          <w:rFonts w:ascii="Calibri" w:hAnsi="Calibri"/>
          <w:iCs/>
          <w:sz w:val="22"/>
        </w:rPr>
        <w:t>Fitch</w:t>
      </w:r>
      <w:proofErr w:type="spellEnd"/>
      <w:r w:rsidRPr="00FC6E1A">
        <w:rPr>
          <w:rFonts w:ascii="Calibri" w:hAnsi="Calibri"/>
          <w:iCs/>
          <w:sz w:val="22"/>
        </w:rPr>
        <w:t xml:space="preserve">- AAA of </w:t>
      </w:r>
      <w:proofErr w:type="spellStart"/>
      <w:r w:rsidRPr="00FC6E1A">
        <w:rPr>
          <w:rFonts w:ascii="Calibri" w:hAnsi="Calibri"/>
          <w:iCs/>
          <w:sz w:val="22"/>
        </w:rPr>
        <w:t>Moody’s</w:t>
      </w:r>
      <w:proofErr w:type="spellEnd"/>
      <w:r w:rsidRPr="00FC6E1A">
        <w:rPr>
          <w:rFonts w:ascii="Calibri" w:hAnsi="Calibri"/>
          <w:iCs/>
          <w:sz w:val="22"/>
        </w:rPr>
        <w:t xml:space="preserve"> </w:t>
      </w:r>
      <w:proofErr w:type="spellStart"/>
      <w:r w:rsidRPr="00FC6E1A">
        <w:rPr>
          <w:rFonts w:ascii="Calibri" w:hAnsi="Calibri"/>
          <w:iCs/>
          <w:sz w:val="22"/>
        </w:rPr>
        <w:t>Aaa</w:t>
      </w:r>
      <w:proofErr w:type="spellEnd"/>
      <w:r w:rsidRPr="00FC6E1A">
        <w:rPr>
          <w:rFonts w:ascii="Calibri" w:hAnsi="Calibri"/>
          <w:iCs/>
          <w:sz w:val="22"/>
        </w:rPr>
        <w:t xml:space="preserve"> rating heeft</w:t>
      </w:r>
      <w:r w:rsidR="00E1262F">
        <w:rPr>
          <w:rFonts w:ascii="Calibri" w:hAnsi="Calibri"/>
          <w:iCs/>
          <w:sz w:val="22"/>
        </w:rPr>
        <w:t>.</w:t>
      </w:r>
      <w:r w:rsidR="00FC6E1A">
        <w:rPr>
          <w:rFonts w:ascii="Calibri" w:hAnsi="Calibri"/>
          <w:iCs/>
          <w:sz w:val="22"/>
        </w:rPr>
        <w:t xml:space="preserve"> </w:t>
      </w:r>
      <w:r w:rsidR="00D80223">
        <w:rPr>
          <w:rFonts w:ascii="Calibri" w:hAnsi="Calibri"/>
          <w:iCs/>
          <w:sz w:val="22"/>
        </w:rPr>
        <w:t>V</w:t>
      </w:r>
      <w:r w:rsidR="0026033D" w:rsidRPr="00A60E2C">
        <w:rPr>
          <w:rFonts w:ascii="Calibri" w:hAnsi="Calibri"/>
          <w:iCs/>
          <w:sz w:val="22"/>
        </w:rPr>
        <w:t>oor leningen van debiteuren met een A rating geldt een maximaal gewicht van 5% van het in obligaties belegde vermogen, voor AA en AAA een maximaal gewicht van 10%</w:t>
      </w:r>
      <w:r w:rsidR="00D80223">
        <w:rPr>
          <w:rFonts w:ascii="Calibri" w:hAnsi="Calibri"/>
          <w:iCs/>
          <w:sz w:val="22"/>
        </w:rPr>
        <w:t>.</w:t>
      </w:r>
      <w:r w:rsidR="0026033D" w:rsidRPr="00A60E2C">
        <w:rPr>
          <w:rFonts w:ascii="Calibri" w:hAnsi="Calibri"/>
          <w:iCs/>
          <w:sz w:val="22"/>
        </w:rPr>
        <w:t xml:space="preserve"> Alleen voor staatsleningen met een AAA rating is een hoger gewicht mogelijk.</w:t>
      </w:r>
    </w:p>
    <w:p w14:paraId="00155586" w14:textId="1337C3A2" w:rsidR="00787746" w:rsidRPr="00FC6E1A" w:rsidRDefault="00784C8D" w:rsidP="00A60E2C">
      <w:pPr>
        <w:ind w:left="720"/>
        <w:rPr>
          <w:rFonts w:ascii="Calibri" w:hAnsi="Calibri"/>
          <w:iCs/>
          <w:sz w:val="22"/>
        </w:rPr>
      </w:pPr>
      <w:r>
        <w:rPr>
          <w:rFonts w:ascii="Calibri" w:hAnsi="Calibri"/>
          <w:iCs/>
          <w:sz w:val="22"/>
        </w:rPr>
        <w:br/>
      </w:r>
      <w:r>
        <w:rPr>
          <w:rFonts w:ascii="Calibri" w:hAnsi="Calibri"/>
          <w:iCs/>
          <w:sz w:val="22"/>
        </w:rPr>
        <w:br/>
      </w:r>
      <w:r>
        <w:rPr>
          <w:rFonts w:ascii="Calibri" w:hAnsi="Calibri"/>
          <w:iCs/>
          <w:sz w:val="22"/>
        </w:rPr>
        <w:br/>
      </w:r>
      <w:r>
        <w:rPr>
          <w:rFonts w:ascii="Calibri" w:hAnsi="Calibri"/>
          <w:iCs/>
          <w:sz w:val="22"/>
        </w:rPr>
        <w:br/>
      </w:r>
      <w:r>
        <w:rPr>
          <w:rFonts w:ascii="Calibri" w:hAnsi="Calibri"/>
          <w:iCs/>
          <w:sz w:val="22"/>
        </w:rPr>
        <w:br/>
      </w:r>
      <w:r>
        <w:rPr>
          <w:rFonts w:ascii="Calibri" w:hAnsi="Calibri"/>
          <w:iCs/>
          <w:sz w:val="22"/>
        </w:rPr>
        <w:br/>
      </w:r>
      <w:r>
        <w:rPr>
          <w:rFonts w:ascii="Calibri" w:hAnsi="Calibri"/>
          <w:iCs/>
          <w:sz w:val="22"/>
        </w:rPr>
        <w:br/>
      </w:r>
    </w:p>
    <w:p w14:paraId="4D7EB764" w14:textId="77777777" w:rsidR="00787746" w:rsidRPr="00FC6E1A" w:rsidRDefault="00787746" w:rsidP="00375C71">
      <w:pPr>
        <w:rPr>
          <w:rFonts w:ascii="Calibri" w:hAnsi="Calibri"/>
          <w:iCs/>
          <w:sz w:val="22"/>
        </w:rPr>
      </w:pPr>
    </w:p>
    <w:tbl>
      <w:tblPr>
        <w:tblW w:w="8401"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126"/>
        <w:gridCol w:w="3581"/>
      </w:tblGrid>
      <w:tr w:rsidR="00FC6E1A" w:rsidRPr="00FC6E1A" w14:paraId="253AA091" w14:textId="77777777" w:rsidTr="00FC6E1A">
        <w:trPr>
          <w:cantSplit/>
        </w:trPr>
        <w:tc>
          <w:tcPr>
            <w:tcW w:w="4820" w:type="dxa"/>
            <w:gridSpan w:val="2"/>
          </w:tcPr>
          <w:p w14:paraId="114E5CA3" w14:textId="77777777" w:rsidR="00787746" w:rsidRPr="00FC6E1A" w:rsidRDefault="00787746" w:rsidP="00970C0B">
            <w:pPr>
              <w:pStyle w:val="Geenafstand"/>
            </w:pPr>
            <w:r w:rsidRPr="00FC6E1A">
              <w:t>Rating</w:t>
            </w:r>
          </w:p>
        </w:tc>
        <w:tc>
          <w:tcPr>
            <w:tcW w:w="3581" w:type="dxa"/>
            <w:vMerge w:val="restart"/>
          </w:tcPr>
          <w:p w14:paraId="06448A26" w14:textId="77777777" w:rsidR="00787746" w:rsidRPr="00FC6E1A" w:rsidRDefault="00787746" w:rsidP="00970C0B">
            <w:pPr>
              <w:pStyle w:val="Geenafstand"/>
              <w:jc w:val="center"/>
            </w:pPr>
          </w:p>
          <w:p w14:paraId="0E747860" w14:textId="77777777" w:rsidR="00787746" w:rsidRPr="00FC6E1A" w:rsidRDefault="00787746" w:rsidP="00970C0B">
            <w:pPr>
              <w:pStyle w:val="Geenafstand"/>
              <w:jc w:val="center"/>
            </w:pPr>
            <w:r w:rsidRPr="00FC6E1A">
              <w:t>Maximum percentage van de beleggingen per individuele debiteur</w:t>
            </w:r>
          </w:p>
        </w:tc>
      </w:tr>
      <w:tr w:rsidR="00FC6E1A" w:rsidRPr="00FC6E1A" w14:paraId="46081047" w14:textId="77777777" w:rsidTr="00FC6E1A">
        <w:trPr>
          <w:cantSplit/>
        </w:trPr>
        <w:tc>
          <w:tcPr>
            <w:tcW w:w="2694" w:type="dxa"/>
          </w:tcPr>
          <w:p w14:paraId="552E9C2A" w14:textId="77777777" w:rsidR="00787746" w:rsidRPr="00FC6E1A" w:rsidRDefault="00787746" w:rsidP="00970C0B">
            <w:pPr>
              <w:pStyle w:val="Geenafstand"/>
            </w:pPr>
            <w:proofErr w:type="spellStart"/>
            <w:r w:rsidRPr="00FC6E1A">
              <w:t>Moody’s</w:t>
            </w:r>
            <w:proofErr w:type="spellEnd"/>
          </w:p>
        </w:tc>
        <w:tc>
          <w:tcPr>
            <w:tcW w:w="2126" w:type="dxa"/>
          </w:tcPr>
          <w:p w14:paraId="7829C7A7" w14:textId="77777777" w:rsidR="00787746" w:rsidRPr="00FC6E1A" w:rsidRDefault="00787746" w:rsidP="00970C0B">
            <w:pPr>
              <w:pStyle w:val="Geenafstand"/>
            </w:pPr>
            <w:r w:rsidRPr="00FC6E1A">
              <w:t>S&amp;P</w:t>
            </w:r>
          </w:p>
        </w:tc>
        <w:tc>
          <w:tcPr>
            <w:tcW w:w="3581" w:type="dxa"/>
            <w:vMerge/>
          </w:tcPr>
          <w:p w14:paraId="75DD4E0C" w14:textId="77777777" w:rsidR="00787746" w:rsidRPr="00FC6E1A" w:rsidRDefault="00787746" w:rsidP="00970C0B">
            <w:pPr>
              <w:pStyle w:val="Geenafstand"/>
              <w:jc w:val="center"/>
            </w:pPr>
          </w:p>
        </w:tc>
      </w:tr>
      <w:tr w:rsidR="00FC6E1A" w:rsidRPr="00FC6E1A" w14:paraId="55FCCDBB" w14:textId="77777777" w:rsidTr="00FC6E1A">
        <w:tc>
          <w:tcPr>
            <w:tcW w:w="2694" w:type="dxa"/>
          </w:tcPr>
          <w:p w14:paraId="3E655F9D" w14:textId="77777777" w:rsidR="00787746" w:rsidRPr="00FC6E1A" w:rsidRDefault="00787746" w:rsidP="00970C0B">
            <w:pPr>
              <w:pStyle w:val="Geenafstand"/>
            </w:pPr>
            <w:proofErr w:type="spellStart"/>
            <w:r w:rsidRPr="00FC6E1A">
              <w:t>Aaa</w:t>
            </w:r>
            <w:proofErr w:type="spellEnd"/>
            <w:r w:rsidRPr="00FC6E1A">
              <w:t xml:space="preserve"> Staatsobligaties</w:t>
            </w:r>
          </w:p>
          <w:p w14:paraId="5211F27C" w14:textId="77777777" w:rsidR="00787746" w:rsidRPr="00FC6E1A" w:rsidRDefault="00787746" w:rsidP="00970C0B">
            <w:pPr>
              <w:pStyle w:val="Geenafstand"/>
            </w:pPr>
            <w:proofErr w:type="spellStart"/>
            <w:r w:rsidRPr="00FC6E1A">
              <w:t>Aaa</w:t>
            </w:r>
            <w:proofErr w:type="spellEnd"/>
          </w:p>
          <w:p w14:paraId="159060D5" w14:textId="77777777" w:rsidR="00787746" w:rsidRPr="00FC6E1A" w:rsidRDefault="00787746" w:rsidP="00970C0B">
            <w:pPr>
              <w:pStyle w:val="Geenafstand"/>
            </w:pPr>
            <w:r w:rsidRPr="00FC6E1A">
              <w:t>Aa1/2/3</w:t>
            </w:r>
          </w:p>
          <w:p w14:paraId="5EDF806D" w14:textId="77777777" w:rsidR="00787746" w:rsidRPr="00FC6E1A" w:rsidRDefault="00787746" w:rsidP="00970C0B">
            <w:pPr>
              <w:pStyle w:val="Geenafstand"/>
            </w:pPr>
            <w:r w:rsidRPr="00FC6E1A">
              <w:t>A1/2/3</w:t>
            </w:r>
          </w:p>
          <w:p w14:paraId="3F4EC684" w14:textId="77777777" w:rsidR="00787746" w:rsidRPr="00FC6E1A" w:rsidRDefault="00787746" w:rsidP="00970C0B">
            <w:pPr>
              <w:pStyle w:val="Geenafstand"/>
            </w:pPr>
            <w:r w:rsidRPr="00FC6E1A">
              <w:t>Baa1/2/3</w:t>
            </w:r>
          </w:p>
          <w:p w14:paraId="4C228587" w14:textId="77777777" w:rsidR="00787746" w:rsidRPr="00FC6E1A" w:rsidRDefault="00787746" w:rsidP="00970C0B">
            <w:pPr>
              <w:pStyle w:val="Geenafstand"/>
            </w:pPr>
          </w:p>
        </w:tc>
        <w:tc>
          <w:tcPr>
            <w:tcW w:w="2126" w:type="dxa"/>
          </w:tcPr>
          <w:p w14:paraId="63696222" w14:textId="77777777" w:rsidR="00787746" w:rsidRPr="00FC6E1A" w:rsidRDefault="00787746" w:rsidP="00970C0B">
            <w:pPr>
              <w:pStyle w:val="Geenafstand"/>
            </w:pPr>
            <w:r w:rsidRPr="00FC6E1A">
              <w:lastRenderedPageBreak/>
              <w:t>AAA Staatsobligaties</w:t>
            </w:r>
          </w:p>
          <w:p w14:paraId="5CE6A73D" w14:textId="77777777" w:rsidR="00787746" w:rsidRPr="00FC6E1A" w:rsidRDefault="00787746" w:rsidP="00970C0B">
            <w:pPr>
              <w:pStyle w:val="Geenafstand"/>
            </w:pPr>
            <w:r w:rsidRPr="00FC6E1A">
              <w:t>AAA</w:t>
            </w:r>
          </w:p>
          <w:p w14:paraId="17AAB6CA" w14:textId="77777777" w:rsidR="00787746" w:rsidRPr="00FC6E1A" w:rsidRDefault="00787746" w:rsidP="00970C0B">
            <w:pPr>
              <w:pStyle w:val="Geenafstand"/>
            </w:pPr>
            <w:r w:rsidRPr="00FC6E1A">
              <w:t>AA+/-</w:t>
            </w:r>
          </w:p>
          <w:p w14:paraId="0B331EE1" w14:textId="77777777" w:rsidR="00787746" w:rsidRPr="00FC6E1A" w:rsidRDefault="00787746" w:rsidP="00970C0B">
            <w:pPr>
              <w:pStyle w:val="Geenafstand"/>
            </w:pPr>
            <w:r w:rsidRPr="00FC6E1A">
              <w:t>A+/-</w:t>
            </w:r>
          </w:p>
          <w:p w14:paraId="433459C2" w14:textId="77777777" w:rsidR="00787746" w:rsidRPr="00FC6E1A" w:rsidRDefault="00787746" w:rsidP="00970C0B">
            <w:pPr>
              <w:pStyle w:val="Geenafstand"/>
            </w:pPr>
            <w:r w:rsidRPr="00FC6E1A">
              <w:t>BBB+/-</w:t>
            </w:r>
          </w:p>
          <w:p w14:paraId="4A642DE9" w14:textId="77777777" w:rsidR="00787746" w:rsidRPr="00FC6E1A" w:rsidRDefault="00787746" w:rsidP="00557B6D">
            <w:pPr>
              <w:pStyle w:val="Geenafstand"/>
            </w:pPr>
          </w:p>
        </w:tc>
        <w:tc>
          <w:tcPr>
            <w:tcW w:w="3581" w:type="dxa"/>
          </w:tcPr>
          <w:p w14:paraId="00421399" w14:textId="77777777" w:rsidR="00787746" w:rsidRPr="00FC6E1A" w:rsidRDefault="00787746" w:rsidP="00970C0B">
            <w:pPr>
              <w:pStyle w:val="Geenafstand"/>
              <w:jc w:val="center"/>
            </w:pPr>
            <w:r w:rsidRPr="00FC6E1A">
              <w:lastRenderedPageBreak/>
              <w:t>100%</w:t>
            </w:r>
          </w:p>
          <w:p w14:paraId="01F680CB" w14:textId="77777777" w:rsidR="00787746" w:rsidRPr="00FC6E1A" w:rsidRDefault="00787746" w:rsidP="00970C0B">
            <w:pPr>
              <w:pStyle w:val="Geenafstand"/>
              <w:jc w:val="center"/>
            </w:pPr>
            <w:r w:rsidRPr="00FC6E1A">
              <w:t>40%</w:t>
            </w:r>
          </w:p>
          <w:p w14:paraId="68B7A5AA" w14:textId="77777777" w:rsidR="00787746" w:rsidRPr="00FC6E1A" w:rsidRDefault="00787746" w:rsidP="00970C0B">
            <w:pPr>
              <w:pStyle w:val="Geenafstand"/>
              <w:jc w:val="center"/>
            </w:pPr>
            <w:r w:rsidRPr="00FC6E1A">
              <w:t>20%</w:t>
            </w:r>
          </w:p>
          <w:p w14:paraId="685B62A1" w14:textId="77777777" w:rsidR="00787746" w:rsidRPr="00FC6E1A" w:rsidRDefault="00787746" w:rsidP="00970C0B">
            <w:pPr>
              <w:pStyle w:val="Geenafstand"/>
              <w:jc w:val="center"/>
            </w:pPr>
            <w:r w:rsidRPr="00FC6E1A">
              <w:t>5%</w:t>
            </w:r>
          </w:p>
          <w:p w14:paraId="14E3AC62" w14:textId="24520516" w:rsidR="00787746" w:rsidRPr="00A60E2C" w:rsidRDefault="0009654D" w:rsidP="00970C0B">
            <w:pPr>
              <w:pStyle w:val="Geenafstand"/>
              <w:jc w:val="center"/>
            </w:pPr>
            <w:r w:rsidRPr="00A60E2C">
              <w:t>3</w:t>
            </w:r>
            <w:r w:rsidR="00787746" w:rsidRPr="00A60E2C">
              <w:t>%</w:t>
            </w:r>
          </w:p>
          <w:p w14:paraId="7D58E2AC" w14:textId="77777777" w:rsidR="00787746" w:rsidRPr="00FC6E1A" w:rsidRDefault="00787746" w:rsidP="00970C0B">
            <w:pPr>
              <w:pStyle w:val="Geenafstand"/>
              <w:jc w:val="center"/>
            </w:pPr>
          </w:p>
        </w:tc>
      </w:tr>
    </w:tbl>
    <w:p w14:paraId="5E6D527A" w14:textId="77777777" w:rsidR="00FC6E1A" w:rsidRDefault="00FC6E1A" w:rsidP="00FC6E1A">
      <w:pPr>
        <w:pStyle w:val="Lijstalinea"/>
        <w:rPr>
          <w:rFonts w:ascii="Calibri" w:hAnsi="Calibri"/>
          <w:iCs/>
          <w:sz w:val="22"/>
        </w:rPr>
      </w:pPr>
    </w:p>
    <w:p w14:paraId="23020078" w14:textId="77777777" w:rsidR="00FC6E1A" w:rsidRPr="00FC6E1A" w:rsidRDefault="00FC6E1A" w:rsidP="00FC6E1A">
      <w:pPr>
        <w:pStyle w:val="Lijstalinea"/>
        <w:rPr>
          <w:rFonts w:ascii="Calibri" w:hAnsi="Calibri"/>
          <w:iCs/>
          <w:sz w:val="22"/>
        </w:rPr>
      </w:pPr>
    </w:p>
    <w:p w14:paraId="1ED8AF85" w14:textId="7F9CEBB2" w:rsidR="00787746" w:rsidRPr="00FC6E1A" w:rsidRDefault="00787746" w:rsidP="00FC6E1A">
      <w:pPr>
        <w:pStyle w:val="Lijstalinea"/>
        <w:numPr>
          <w:ilvl w:val="0"/>
          <w:numId w:val="17"/>
        </w:numPr>
        <w:rPr>
          <w:rFonts w:ascii="Calibri" w:hAnsi="Calibri"/>
          <w:iCs/>
          <w:sz w:val="22"/>
        </w:rPr>
      </w:pPr>
      <w:r w:rsidRPr="00FC6E1A">
        <w:rPr>
          <w:rFonts w:ascii="Calibri" w:hAnsi="Calibri"/>
          <w:b/>
          <w:iCs/>
          <w:sz w:val="22"/>
        </w:rPr>
        <w:t>Beheer debiteurenrisico</w:t>
      </w:r>
      <w:r w:rsidRPr="00FC6E1A">
        <w:rPr>
          <w:rFonts w:ascii="Calibri" w:hAnsi="Calibri"/>
          <w:iCs/>
          <w:sz w:val="22"/>
        </w:rPr>
        <w:t>: De marktwaarde van de obligaties moet voldoen aan de onderstaande credit rating onder- en bovengrenzen (in % van de vastrentende portefeuille):</w:t>
      </w:r>
    </w:p>
    <w:p w14:paraId="79D2566F" w14:textId="77777777" w:rsidR="00787746" w:rsidRPr="007B7F5B" w:rsidRDefault="00787746" w:rsidP="00375C71">
      <w:pPr>
        <w:pStyle w:val="Geenafstand"/>
        <w:rPr>
          <w:i/>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560"/>
        <w:gridCol w:w="1134"/>
        <w:gridCol w:w="1701"/>
      </w:tblGrid>
      <w:tr w:rsidR="00787746" w:rsidRPr="007B7F5B" w14:paraId="6F6351DF" w14:textId="77777777" w:rsidTr="00970C0B">
        <w:trPr>
          <w:cantSplit/>
        </w:trPr>
        <w:tc>
          <w:tcPr>
            <w:tcW w:w="3190" w:type="dxa"/>
            <w:gridSpan w:val="2"/>
          </w:tcPr>
          <w:p w14:paraId="154AC75B" w14:textId="77777777" w:rsidR="00787746" w:rsidRPr="007B7F5B" w:rsidRDefault="00787746" w:rsidP="00970C0B">
            <w:pPr>
              <w:pStyle w:val="Geenafstand"/>
              <w:rPr>
                <w:iCs/>
              </w:rPr>
            </w:pPr>
            <w:r w:rsidRPr="007B7F5B">
              <w:rPr>
                <w:iCs/>
              </w:rPr>
              <w:t>Rating</w:t>
            </w:r>
          </w:p>
          <w:p w14:paraId="70CE983E" w14:textId="77777777" w:rsidR="00787746" w:rsidRPr="007B7F5B" w:rsidRDefault="00787746" w:rsidP="00970C0B">
            <w:pPr>
              <w:pStyle w:val="Geenafstand"/>
              <w:rPr>
                <w:iCs/>
              </w:rPr>
            </w:pPr>
            <w:proofErr w:type="spellStart"/>
            <w:r w:rsidRPr="007B7F5B">
              <w:rPr>
                <w:iCs/>
              </w:rPr>
              <w:t>Moody’s</w:t>
            </w:r>
            <w:proofErr w:type="spellEnd"/>
            <w:r w:rsidRPr="007B7F5B">
              <w:rPr>
                <w:iCs/>
              </w:rPr>
              <w:t xml:space="preserve">             S&amp;P</w:t>
            </w:r>
          </w:p>
        </w:tc>
        <w:tc>
          <w:tcPr>
            <w:tcW w:w="2835" w:type="dxa"/>
            <w:gridSpan w:val="2"/>
          </w:tcPr>
          <w:p w14:paraId="40B3667A" w14:textId="77777777" w:rsidR="00787746" w:rsidRPr="007B7F5B" w:rsidRDefault="00787746" w:rsidP="00970C0B">
            <w:pPr>
              <w:pStyle w:val="Geenafstand"/>
              <w:jc w:val="center"/>
              <w:rPr>
                <w:iCs/>
              </w:rPr>
            </w:pPr>
          </w:p>
          <w:p w14:paraId="3D6F3C26" w14:textId="77777777" w:rsidR="00787746" w:rsidRPr="007B7F5B" w:rsidRDefault="00787746" w:rsidP="00970C0B">
            <w:pPr>
              <w:pStyle w:val="Geenafstand"/>
              <w:jc w:val="center"/>
              <w:rPr>
                <w:iCs/>
              </w:rPr>
            </w:pPr>
            <w:r w:rsidRPr="007B7F5B">
              <w:rPr>
                <w:iCs/>
              </w:rPr>
              <w:t>Minimum        Maximum</w:t>
            </w:r>
          </w:p>
        </w:tc>
      </w:tr>
      <w:tr w:rsidR="00787746" w:rsidRPr="007B7F5B" w14:paraId="2DD63F3B" w14:textId="77777777" w:rsidTr="00970C0B">
        <w:tc>
          <w:tcPr>
            <w:tcW w:w="1630" w:type="dxa"/>
          </w:tcPr>
          <w:p w14:paraId="5048D092" w14:textId="77777777" w:rsidR="00787746" w:rsidRPr="007B7F5B" w:rsidRDefault="00787746" w:rsidP="00970C0B">
            <w:pPr>
              <w:pStyle w:val="Geenafstand"/>
              <w:rPr>
                <w:iCs/>
              </w:rPr>
            </w:pPr>
            <w:proofErr w:type="spellStart"/>
            <w:r w:rsidRPr="007B7F5B">
              <w:rPr>
                <w:iCs/>
              </w:rPr>
              <w:t>Aaa</w:t>
            </w:r>
            <w:proofErr w:type="spellEnd"/>
          </w:p>
          <w:p w14:paraId="147654EC" w14:textId="77777777" w:rsidR="00787746" w:rsidRPr="007B7F5B" w:rsidRDefault="00787746" w:rsidP="00970C0B">
            <w:pPr>
              <w:pStyle w:val="Geenafstand"/>
              <w:rPr>
                <w:iCs/>
              </w:rPr>
            </w:pPr>
            <w:r w:rsidRPr="007B7F5B">
              <w:rPr>
                <w:iCs/>
              </w:rPr>
              <w:t>Aa1/2/3</w:t>
            </w:r>
          </w:p>
          <w:p w14:paraId="1AA49A15" w14:textId="77777777" w:rsidR="00787746" w:rsidRPr="007B7F5B" w:rsidRDefault="00787746" w:rsidP="00970C0B">
            <w:pPr>
              <w:pStyle w:val="Geenafstand"/>
              <w:rPr>
                <w:iCs/>
              </w:rPr>
            </w:pPr>
            <w:r w:rsidRPr="007B7F5B">
              <w:rPr>
                <w:iCs/>
              </w:rPr>
              <w:t>A1/2/3</w:t>
            </w:r>
          </w:p>
          <w:p w14:paraId="37B7E1E2" w14:textId="77777777" w:rsidR="00787746" w:rsidRPr="007B7F5B" w:rsidRDefault="00787746" w:rsidP="00970C0B">
            <w:pPr>
              <w:pStyle w:val="Geenafstand"/>
              <w:rPr>
                <w:iCs/>
              </w:rPr>
            </w:pPr>
            <w:r w:rsidRPr="007B7F5B">
              <w:rPr>
                <w:iCs/>
              </w:rPr>
              <w:t>Baa1/2/3</w:t>
            </w:r>
          </w:p>
          <w:p w14:paraId="2461752B" w14:textId="77777777" w:rsidR="00787746" w:rsidRPr="007B7F5B" w:rsidRDefault="00787746" w:rsidP="00970C0B">
            <w:pPr>
              <w:pStyle w:val="Geenafstand"/>
              <w:rPr>
                <w:iCs/>
              </w:rPr>
            </w:pPr>
            <w:r w:rsidRPr="007B7F5B">
              <w:rPr>
                <w:iCs/>
              </w:rPr>
              <w:t>Overig</w:t>
            </w:r>
          </w:p>
        </w:tc>
        <w:tc>
          <w:tcPr>
            <w:tcW w:w="1560" w:type="dxa"/>
          </w:tcPr>
          <w:p w14:paraId="49D8B2D6" w14:textId="77777777" w:rsidR="00787746" w:rsidRPr="007B7F5B" w:rsidRDefault="00787746" w:rsidP="00970C0B">
            <w:pPr>
              <w:pStyle w:val="Geenafstand"/>
              <w:rPr>
                <w:iCs/>
              </w:rPr>
            </w:pPr>
            <w:r w:rsidRPr="007B7F5B">
              <w:rPr>
                <w:iCs/>
              </w:rPr>
              <w:t>AAA</w:t>
            </w:r>
          </w:p>
          <w:p w14:paraId="195188C5" w14:textId="77777777" w:rsidR="00787746" w:rsidRPr="007B7F5B" w:rsidRDefault="00787746" w:rsidP="00970C0B">
            <w:pPr>
              <w:pStyle w:val="Geenafstand"/>
              <w:rPr>
                <w:iCs/>
              </w:rPr>
            </w:pPr>
            <w:r w:rsidRPr="007B7F5B">
              <w:rPr>
                <w:iCs/>
              </w:rPr>
              <w:t>AA+/-</w:t>
            </w:r>
          </w:p>
          <w:p w14:paraId="67F8BCEA" w14:textId="77777777" w:rsidR="00787746" w:rsidRPr="007B7F5B" w:rsidRDefault="00787746" w:rsidP="00970C0B">
            <w:pPr>
              <w:pStyle w:val="Geenafstand"/>
              <w:rPr>
                <w:iCs/>
              </w:rPr>
            </w:pPr>
            <w:r w:rsidRPr="007B7F5B">
              <w:rPr>
                <w:iCs/>
              </w:rPr>
              <w:t>A+/-</w:t>
            </w:r>
          </w:p>
          <w:p w14:paraId="4C74448F" w14:textId="77777777" w:rsidR="00787746" w:rsidRPr="007B7F5B" w:rsidRDefault="00787746" w:rsidP="00970C0B">
            <w:pPr>
              <w:pStyle w:val="Geenafstand"/>
              <w:rPr>
                <w:iCs/>
              </w:rPr>
            </w:pPr>
            <w:r w:rsidRPr="007B7F5B">
              <w:rPr>
                <w:iCs/>
              </w:rPr>
              <w:t>BBB+/-</w:t>
            </w:r>
          </w:p>
          <w:p w14:paraId="2376FCD7" w14:textId="77777777" w:rsidR="00787746" w:rsidRPr="007B7F5B" w:rsidRDefault="00787746" w:rsidP="00970C0B">
            <w:pPr>
              <w:pStyle w:val="Geenafstand"/>
              <w:rPr>
                <w:iCs/>
              </w:rPr>
            </w:pPr>
          </w:p>
        </w:tc>
        <w:tc>
          <w:tcPr>
            <w:tcW w:w="1134" w:type="dxa"/>
          </w:tcPr>
          <w:p w14:paraId="26CE843F" w14:textId="77777777" w:rsidR="00787746" w:rsidRPr="007B7F5B" w:rsidRDefault="00787746" w:rsidP="00970C0B">
            <w:pPr>
              <w:pStyle w:val="Geenafstand"/>
              <w:jc w:val="center"/>
              <w:rPr>
                <w:iCs/>
              </w:rPr>
            </w:pPr>
            <w:r w:rsidRPr="007B7F5B">
              <w:rPr>
                <w:iCs/>
              </w:rPr>
              <w:t>25%</w:t>
            </w:r>
          </w:p>
          <w:p w14:paraId="5BB42AF1" w14:textId="7999D64F" w:rsidR="00787746" w:rsidRPr="007B7F5B" w:rsidRDefault="0009654D" w:rsidP="00970C0B">
            <w:pPr>
              <w:pStyle w:val="Geenafstand"/>
              <w:jc w:val="center"/>
              <w:rPr>
                <w:iCs/>
              </w:rPr>
            </w:pPr>
            <w:r>
              <w:rPr>
                <w:iCs/>
              </w:rPr>
              <w:t>50</w:t>
            </w:r>
            <w:r w:rsidR="00787746" w:rsidRPr="007B7F5B">
              <w:rPr>
                <w:iCs/>
              </w:rPr>
              <w:t>%</w:t>
            </w:r>
          </w:p>
          <w:p w14:paraId="29E05963" w14:textId="77777777" w:rsidR="00787746" w:rsidRPr="007B7F5B" w:rsidRDefault="00787746" w:rsidP="00970C0B">
            <w:pPr>
              <w:pStyle w:val="Geenafstand"/>
              <w:jc w:val="center"/>
              <w:rPr>
                <w:iCs/>
              </w:rPr>
            </w:pPr>
            <w:r w:rsidRPr="007B7F5B">
              <w:rPr>
                <w:iCs/>
              </w:rPr>
              <w:t>0%</w:t>
            </w:r>
          </w:p>
          <w:p w14:paraId="1ED1EBC8" w14:textId="77777777" w:rsidR="00787746" w:rsidRPr="007B7F5B" w:rsidRDefault="00787746" w:rsidP="00970C0B">
            <w:pPr>
              <w:pStyle w:val="Geenafstand"/>
              <w:jc w:val="center"/>
              <w:rPr>
                <w:iCs/>
              </w:rPr>
            </w:pPr>
            <w:r w:rsidRPr="007B7F5B">
              <w:rPr>
                <w:iCs/>
              </w:rPr>
              <w:t>0%</w:t>
            </w:r>
          </w:p>
          <w:p w14:paraId="764F0FB3" w14:textId="77777777" w:rsidR="00787746" w:rsidRPr="007B7F5B" w:rsidRDefault="00787746" w:rsidP="00970C0B">
            <w:pPr>
              <w:pStyle w:val="Geenafstand"/>
              <w:jc w:val="center"/>
              <w:rPr>
                <w:iCs/>
              </w:rPr>
            </w:pPr>
            <w:r w:rsidRPr="007B7F5B">
              <w:rPr>
                <w:iCs/>
              </w:rPr>
              <w:t>0%</w:t>
            </w:r>
          </w:p>
        </w:tc>
        <w:tc>
          <w:tcPr>
            <w:tcW w:w="1701" w:type="dxa"/>
          </w:tcPr>
          <w:p w14:paraId="521A4122" w14:textId="77777777" w:rsidR="00787746" w:rsidRPr="007B7F5B" w:rsidRDefault="00787746" w:rsidP="00970C0B">
            <w:pPr>
              <w:pStyle w:val="Geenafstand"/>
              <w:jc w:val="center"/>
              <w:rPr>
                <w:iCs/>
              </w:rPr>
            </w:pPr>
            <w:r w:rsidRPr="007B7F5B">
              <w:rPr>
                <w:iCs/>
              </w:rPr>
              <w:t>100%</w:t>
            </w:r>
          </w:p>
          <w:p w14:paraId="54419FF9" w14:textId="77777777" w:rsidR="00787746" w:rsidRPr="007B7F5B" w:rsidRDefault="00787746" w:rsidP="00970C0B">
            <w:pPr>
              <w:pStyle w:val="Geenafstand"/>
              <w:jc w:val="center"/>
              <w:rPr>
                <w:iCs/>
              </w:rPr>
            </w:pPr>
            <w:r w:rsidRPr="007B7F5B">
              <w:rPr>
                <w:iCs/>
              </w:rPr>
              <w:t>75%</w:t>
            </w:r>
          </w:p>
          <w:p w14:paraId="74A2FF80" w14:textId="77777777" w:rsidR="00787746" w:rsidRPr="007B7F5B" w:rsidRDefault="00787746" w:rsidP="00970C0B">
            <w:pPr>
              <w:pStyle w:val="Geenafstand"/>
              <w:jc w:val="center"/>
              <w:rPr>
                <w:iCs/>
              </w:rPr>
            </w:pPr>
            <w:r w:rsidRPr="007B7F5B">
              <w:rPr>
                <w:iCs/>
              </w:rPr>
              <w:t>50%</w:t>
            </w:r>
          </w:p>
          <w:p w14:paraId="2C30CEDB" w14:textId="1DBF932E" w:rsidR="00787746" w:rsidRPr="00E1262F" w:rsidRDefault="0009654D" w:rsidP="00970C0B">
            <w:pPr>
              <w:pStyle w:val="Geenafstand"/>
              <w:jc w:val="center"/>
              <w:rPr>
                <w:iCs/>
                <w:color w:val="FF0000"/>
              </w:rPr>
            </w:pPr>
            <w:r>
              <w:rPr>
                <w:iCs/>
                <w:color w:val="FF0000"/>
              </w:rPr>
              <w:t>25</w:t>
            </w:r>
            <w:r w:rsidR="00787746" w:rsidRPr="00E1262F">
              <w:rPr>
                <w:iCs/>
                <w:color w:val="FF0000"/>
              </w:rPr>
              <w:t>%</w:t>
            </w:r>
          </w:p>
          <w:p w14:paraId="677C7D0D" w14:textId="77777777" w:rsidR="00787746" w:rsidRPr="007B7F5B" w:rsidRDefault="00787746" w:rsidP="00970C0B">
            <w:pPr>
              <w:pStyle w:val="Geenafstand"/>
              <w:jc w:val="center"/>
              <w:rPr>
                <w:iCs/>
              </w:rPr>
            </w:pPr>
            <w:r w:rsidRPr="007B7F5B">
              <w:rPr>
                <w:iCs/>
              </w:rPr>
              <w:t>0%</w:t>
            </w:r>
          </w:p>
        </w:tc>
      </w:tr>
    </w:tbl>
    <w:p w14:paraId="0F44764E" w14:textId="77777777" w:rsidR="00787746" w:rsidRDefault="00787746" w:rsidP="00897C1E">
      <w:pPr>
        <w:rPr>
          <w:rFonts w:ascii="Calibri" w:hAnsi="Calibri"/>
          <w:iCs/>
          <w:sz w:val="22"/>
        </w:rPr>
      </w:pPr>
    </w:p>
    <w:p w14:paraId="7BF11366" w14:textId="56266C18" w:rsidR="0026033D" w:rsidRPr="00A60E2C" w:rsidRDefault="00B049C5" w:rsidP="00A60E2C">
      <w:pPr>
        <w:pStyle w:val="Tekstopmerking"/>
        <w:ind w:left="708"/>
        <w:rPr>
          <w:rFonts w:ascii="Calibri" w:hAnsi="Calibri"/>
          <w:sz w:val="22"/>
        </w:rPr>
      </w:pPr>
      <w:r w:rsidRPr="00DB24EA">
        <w:rPr>
          <w:rFonts w:ascii="Calibri" w:hAnsi="Calibri"/>
          <w:sz w:val="22"/>
        </w:rPr>
        <w:t xml:space="preserve">Indien de </w:t>
      </w:r>
      <w:r w:rsidRPr="006C752D">
        <w:rPr>
          <w:rFonts w:ascii="Calibri" w:hAnsi="Calibri"/>
          <w:i/>
          <w:sz w:val="22"/>
        </w:rPr>
        <w:t>creditrating</w:t>
      </w:r>
      <w:r w:rsidRPr="00DB24EA">
        <w:rPr>
          <w:rFonts w:ascii="Calibri" w:hAnsi="Calibri"/>
          <w:sz w:val="22"/>
        </w:rPr>
        <w:t xml:space="preserve"> van een uitgevende instelling of van een lening op een </w:t>
      </w:r>
      <w:proofErr w:type="spellStart"/>
      <w:r w:rsidRPr="006C752D">
        <w:rPr>
          <w:rFonts w:ascii="Calibri" w:hAnsi="Calibri"/>
          <w:i/>
          <w:sz w:val="22"/>
        </w:rPr>
        <w:t>negative</w:t>
      </w:r>
      <w:proofErr w:type="spellEnd"/>
      <w:r w:rsidRPr="006C752D">
        <w:rPr>
          <w:rFonts w:ascii="Calibri" w:hAnsi="Calibri"/>
          <w:i/>
          <w:sz w:val="22"/>
        </w:rPr>
        <w:t xml:space="preserve"> outlook </w:t>
      </w:r>
      <w:r w:rsidRPr="00DB24EA">
        <w:rPr>
          <w:rFonts w:ascii="Calibri" w:hAnsi="Calibri"/>
          <w:sz w:val="22"/>
        </w:rPr>
        <w:t xml:space="preserve">wordt geplaatst door </w:t>
      </w:r>
      <w:proofErr w:type="spellStart"/>
      <w:r w:rsidRPr="00DB24EA">
        <w:rPr>
          <w:rFonts w:ascii="Calibri" w:hAnsi="Calibri"/>
          <w:sz w:val="22"/>
        </w:rPr>
        <w:t>Moody’s</w:t>
      </w:r>
      <w:proofErr w:type="spellEnd"/>
      <w:r w:rsidRPr="00DB24EA">
        <w:rPr>
          <w:rFonts w:ascii="Calibri" w:hAnsi="Calibri"/>
          <w:sz w:val="22"/>
        </w:rPr>
        <w:t xml:space="preserve"> en/of S&amp;P, zal de </w:t>
      </w:r>
      <w:r w:rsidR="0040702C">
        <w:rPr>
          <w:rFonts w:ascii="Calibri" w:hAnsi="Calibri"/>
          <w:sz w:val="22"/>
        </w:rPr>
        <w:t>B</w:t>
      </w:r>
      <w:r w:rsidRPr="00DB24EA">
        <w:rPr>
          <w:rFonts w:ascii="Calibri" w:hAnsi="Calibri"/>
          <w:sz w:val="22"/>
        </w:rPr>
        <w:t xml:space="preserve">eheerder </w:t>
      </w:r>
      <w:r w:rsidR="0026033D" w:rsidRPr="00A60E2C">
        <w:rPr>
          <w:rFonts w:ascii="Calibri" w:hAnsi="Calibri"/>
          <w:sz w:val="22"/>
        </w:rPr>
        <w:t xml:space="preserve"> middels het uitbestede mandaat een oordeel vellen over de debiteur. Mocht er een grens door een </w:t>
      </w:r>
      <w:proofErr w:type="spellStart"/>
      <w:r w:rsidR="0026033D" w:rsidRPr="006C752D">
        <w:rPr>
          <w:rFonts w:ascii="Calibri" w:hAnsi="Calibri"/>
          <w:i/>
          <w:sz w:val="22"/>
        </w:rPr>
        <w:t>downgrading</w:t>
      </w:r>
      <w:proofErr w:type="spellEnd"/>
      <w:r w:rsidR="0026033D" w:rsidRPr="006C752D">
        <w:rPr>
          <w:rFonts w:ascii="Calibri" w:hAnsi="Calibri"/>
          <w:i/>
          <w:sz w:val="22"/>
        </w:rPr>
        <w:t xml:space="preserve"> </w:t>
      </w:r>
      <w:r w:rsidR="0026033D" w:rsidRPr="00A60E2C">
        <w:rPr>
          <w:rFonts w:ascii="Calibri" w:hAnsi="Calibri"/>
          <w:sz w:val="22"/>
        </w:rPr>
        <w:t>zijn overschreden, dan is de beheerder verplicht deze obligatie binnen 10 werkdagen te liquideren.</w:t>
      </w:r>
    </w:p>
    <w:p w14:paraId="24593192" w14:textId="77777777" w:rsidR="003A0433" w:rsidRPr="007B7F5B" w:rsidRDefault="003A0433" w:rsidP="00897C1E">
      <w:pPr>
        <w:rPr>
          <w:rFonts w:ascii="Calibri" w:hAnsi="Calibri"/>
          <w:iCs/>
          <w:sz w:val="22"/>
        </w:rPr>
      </w:pPr>
    </w:p>
    <w:p w14:paraId="0CCF7FDD" w14:textId="7CB7F56E" w:rsidR="00755BE5" w:rsidRDefault="002228D0" w:rsidP="00C73F64">
      <w:pPr>
        <w:rPr>
          <w:rFonts w:ascii="Calibri" w:hAnsi="Calibri"/>
          <w:b/>
          <w:iCs/>
          <w:sz w:val="22"/>
        </w:rPr>
      </w:pPr>
      <w:r>
        <w:rPr>
          <w:rFonts w:ascii="Calibri" w:hAnsi="Calibri"/>
          <w:b/>
          <w:iCs/>
          <w:sz w:val="22"/>
        </w:rPr>
        <w:t>3</w:t>
      </w:r>
      <w:r w:rsidR="00755BE5">
        <w:rPr>
          <w:rFonts w:ascii="Calibri" w:hAnsi="Calibri"/>
          <w:b/>
          <w:iCs/>
          <w:sz w:val="22"/>
        </w:rPr>
        <w:t>.3 Liquiditeiten</w:t>
      </w:r>
    </w:p>
    <w:p w14:paraId="7CF3E1B3" w14:textId="04C0F0E0" w:rsidR="0009654D" w:rsidRPr="000A7FA8" w:rsidRDefault="0009654D" w:rsidP="0009654D">
      <w:pPr>
        <w:pStyle w:val="Tekstopmerking"/>
        <w:rPr>
          <w:rFonts w:ascii="Calibri" w:hAnsi="Calibri"/>
          <w:color w:val="000000"/>
          <w:sz w:val="22"/>
          <w:szCs w:val="22"/>
          <w:lang w:eastAsia="en-GB"/>
        </w:rPr>
      </w:pPr>
      <w:r w:rsidRPr="000A7FA8">
        <w:rPr>
          <w:rFonts w:ascii="Calibri" w:hAnsi="Calibri"/>
          <w:color w:val="000000"/>
          <w:sz w:val="22"/>
          <w:szCs w:val="22"/>
          <w:lang w:eastAsia="en-GB"/>
        </w:rPr>
        <w:t xml:space="preserve">Liquide middelen worden uitsluitend aangehouden in </w:t>
      </w:r>
      <w:r w:rsidR="00D80223">
        <w:rPr>
          <w:rFonts w:ascii="Calibri" w:hAnsi="Calibri"/>
          <w:color w:val="000000"/>
          <w:sz w:val="22"/>
          <w:szCs w:val="22"/>
          <w:lang w:eastAsia="en-GB"/>
        </w:rPr>
        <w:t>E</w:t>
      </w:r>
      <w:r w:rsidRPr="000A7FA8">
        <w:rPr>
          <w:rFonts w:ascii="Calibri" w:hAnsi="Calibri"/>
          <w:color w:val="000000"/>
          <w:sz w:val="22"/>
          <w:szCs w:val="22"/>
          <w:lang w:eastAsia="en-GB"/>
        </w:rPr>
        <w:t>uro</w:t>
      </w:r>
      <w:r w:rsidR="00D80223">
        <w:rPr>
          <w:rFonts w:ascii="Calibri" w:hAnsi="Calibri"/>
          <w:color w:val="000000"/>
          <w:sz w:val="22"/>
          <w:szCs w:val="22"/>
          <w:lang w:eastAsia="en-GB"/>
        </w:rPr>
        <w:t>’s</w:t>
      </w:r>
      <w:r w:rsidRPr="000A7FA8">
        <w:rPr>
          <w:rFonts w:ascii="Calibri" w:hAnsi="Calibri"/>
          <w:color w:val="000000"/>
          <w:sz w:val="22"/>
          <w:szCs w:val="22"/>
          <w:lang w:eastAsia="en-GB"/>
        </w:rPr>
        <w:t xml:space="preserve"> bij een financiële instelling met een rating van minimaal A. De middelen worden aangehouden op een rekening die een marktconforme vergoeding kent.</w:t>
      </w:r>
    </w:p>
    <w:p w14:paraId="4A88173C" w14:textId="04383FCA" w:rsidR="00506647" w:rsidRPr="000A7FA8" w:rsidRDefault="00506647" w:rsidP="00C73F64">
      <w:pPr>
        <w:rPr>
          <w:rFonts w:ascii="Calibri" w:hAnsi="Calibri"/>
          <w:color w:val="000000"/>
          <w:sz w:val="22"/>
          <w:lang w:eastAsia="en-GB"/>
        </w:rPr>
      </w:pPr>
    </w:p>
    <w:p w14:paraId="61F0254C" w14:textId="5928EC8B" w:rsidR="00755BE5" w:rsidRDefault="002228D0" w:rsidP="00C73F64">
      <w:pPr>
        <w:rPr>
          <w:rFonts w:ascii="Calibri" w:hAnsi="Calibri"/>
          <w:b/>
          <w:iCs/>
          <w:sz w:val="22"/>
        </w:rPr>
      </w:pPr>
      <w:r>
        <w:rPr>
          <w:rFonts w:ascii="Calibri" w:hAnsi="Calibri"/>
          <w:b/>
          <w:iCs/>
          <w:sz w:val="22"/>
        </w:rPr>
        <w:t>3</w:t>
      </w:r>
      <w:r w:rsidR="00755BE5">
        <w:rPr>
          <w:rFonts w:ascii="Calibri" w:hAnsi="Calibri"/>
          <w:b/>
          <w:iCs/>
          <w:sz w:val="22"/>
        </w:rPr>
        <w:t>.4 Aandelen</w:t>
      </w:r>
    </w:p>
    <w:p w14:paraId="0B1F752C" w14:textId="78E56989" w:rsidR="0009654D" w:rsidRPr="000A7FA8" w:rsidRDefault="0009654D" w:rsidP="00A60E2C">
      <w:pPr>
        <w:pStyle w:val="Tekstopmerking"/>
        <w:rPr>
          <w:rFonts w:ascii="Calibri" w:hAnsi="Calibri"/>
          <w:color w:val="000000"/>
          <w:sz w:val="22"/>
          <w:szCs w:val="22"/>
          <w:lang w:eastAsia="en-GB"/>
        </w:rPr>
      </w:pPr>
      <w:r w:rsidRPr="000A7FA8">
        <w:rPr>
          <w:rFonts w:ascii="Calibri" w:hAnsi="Calibri"/>
          <w:color w:val="000000"/>
          <w:sz w:val="22"/>
          <w:szCs w:val="22"/>
          <w:lang w:eastAsia="en-GB"/>
        </w:rPr>
        <w:t xml:space="preserve">Er kan zowel actief als </w:t>
      </w:r>
      <w:r w:rsidRPr="006C752D">
        <w:rPr>
          <w:rFonts w:ascii="Calibri" w:hAnsi="Calibri"/>
          <w:color w:val="000000"/>
          <w:sz w:val="22"/>
          <w:szCs w:val="22"/>
          <w:lang w:eastAsia="en-GB"/>
        </w:rPr>
        <w:t>passief w</w:t>
      </w:r>
      <w:r w:rsidRPr="000A7FA8">
        <w:rPr>
          <w:rFonts w:ascii="Calibri" w:hAnsi="Calibri"/>
          <w:color w:val="000000"/>
          <w:sz w:val="22"/>
          <w:szCs w:val="22"/>
          <w:lang w:eastAsia="en-GB"/>
        </w:rPr>
        <w:t>orden belegd. Er wordt gezorgd voor een adequate spreiding over sectoren en regio’s en er wordt alleen belegd in goed verhandelbare effecten.</w:t>
      </w:r>
    </w:p>
    <w:p w14:paraId="5A760551" w14:textId="0C3B3189" w:rsidR="00755BE5" w:rsidRDefault="00755BE5" w:rsidP="000A7FA8">
      <w:pPr>
        <w:pStyle w:val="Tekstopmerking"/>
        <w:rPr>
          <w:rFonts w:ascii="Calibri" w:hAnsi="Calibri"/>
          <w:color w:val="000000"/>
          <w:sz w:val="22"/>
          <w:szCs w:val="22"/>
          <w:lang w:eastAsia="en-GB"/>
        </w:rPr>
      </w:pPr>
    </w:p>
    <w:p w14:paraId="55E81402" w14:textId="750C8833" w:rsidR="002228D0" w:rsidRPr="00B6115F" w:rsidRDefault="002228D0" w:rsidP="000A7FA8">
      <w:pPr>
        <w:pStyle w:val="Tekstopmerking"/>
        <w:rPr>
          <w:rFonts w:ascii="Calibri" w:hAnsi="Calibri"/>
          <w:b/>
          <w:bCs/>
          <w:sz w:val="22"/>
          <w:szCs w:val="22"/>
          <w:lang w:eastAsia="en-GB"/>
        </w:rPr>
      </w:pPr>
      <w:r w:rsidRPr="00B6115F">
        <w:rPr>
          <w:rFonts w:ascii="Calibri" w:hAnsi="Calibri"/>
          <w:b/>
          <w:bCs/>
          <w:sz w:val="22"/>
          <w:szCs w:val="22"/>
          <w:lang w:eastAsia="en-GB"/>
        </w:rPr>
        <w:t xml:space="preserve">3.5 </w:t>
      </w:r>
      <w:r w:rsidR="00FC2465" w:rsidRPr="00B6115F">
        <w:rPr>
          <w:rFonts w:ascii="Calibri" w:hAnsi="Calibri"/>
          <w:b/>
          <w:bCs/>
          <w:sz w:val="22"/>
          <w:szCs w:val="22"/>
          <w:lang w:eastAsia="en-GB"/>
        </w:rPr>
        <w:t xml:space="preserve">High </w:t>
      </w:r>
      <w:proofErr w:type="spellStart"/>
      <w:r w:rsidR="00FC2465" w:rsidRPr="00B6115F">
        <w:rPr>
          <w:rFonts w:ascii="Calibri" w:hAnsi="Calibri"/>
          <w:b/>
          <w:bCs/>
          <w:sz w:val="22"/>
          <w:szCs w:val="22"/>
          <w:lang w:eastAsia="en-GB"/>
        </w:rPr>
        <w:t>Yield</w:t>
      </w:r>
      <w:proofErr w:type="spellEnd"/>
      <w:r w:rsidR="00FC2465" w:rsidRPr="00B6115F">
        <w:rPr>
          <w:rFonts w:ascii="Calibri" w:hAnsi="Calibri"/>
          <w:b/>
          <w:bCs/>
          <w:sz w:val="22"/>
          <w:szCs w:val="22"/>
          <w:lang w:eastAsia="en-GB"/>
        </w:rPr>
        <w:t xml:space="preserve"> (uitsluitend m</w:t>
      </w:r>
      <w:r w:rsidRPr="00B6115F">
        <w:rPr>
          <w:rFonts w:ascii="Calibri" w:hAnsi="Calibri"/>
          <w:b/>
          <w:bCs/>
          <w:sz w:val="22"/>
          <w:szCs w:val="22"/>
          <w:lang w:eastAsia="en-GB"/>
        </w:rPr>
        <w:t>icrokredieten</w:t>
      </w:r>
      <w:r w:rsidR="00FC2465" w:rsidRPr="00B6115F">
        <w:rPr>
          <w:rFonts w:ascii="Calibri" w:hAnsi="Calibri"/>
          <w:b/>
          <w:bCs/>
          <w:sz w:val="22"/>
          <w:szCs w:val="22"/>
          <w:lang w:eastAsia="en-GB"/>
        </w:rPr>
        <w:t>)</w:t>
      </w:r>
    </w:p>
    <w:p w14:paraId="69EADCEB" w14:textId="2E32EE0E" w:rsidR="002228D0" w:rsidRPr="00B6115F" w:rsidRDefault="002228D0" w:rsidP="000A7FA8">
      <w:pPr>
        <w:pStyle w:val="Tekstopmerking"/>
        <w:rPr>
          <w:rFonts w:ascii="Calibri" w:hAnsi="Calibri"/>
          <w:sz w:val="22"/>
          <w:szCs w:val="22"/>
          <w:lang w:eastAsia="en-GB"/>
        </w:rPr>
      </w:pPr>
      <w:r w:rsidRPr="00B6115F">
        <w:rPr>
          <w:rFonts w:ascii="Calibri" w:hAnsi="Calibri"/>
          <w:sz w:val="22"/>
          <w:szCs w:val="22"/>
          <w:lang w:eastAsia="en-GB"/>
        </w:rPr>
        <w:t xml:space="preserve">Er kan alleen belegd worden in het ASN-Novib microkrediet fonds. </w:t>
      </w:r>
    </w:p>
    <w:p w14:paraId="540E424F" w14:textId="77777777" w:rsidR="002228D0" w:rsidRPr="00B6115F" w:rsidRDefault="002228D0" w:rsidP="000A7FA8">
      <w:pPr>
        <w:pStyle w:val="Tekstopmerking"/>
        <w:rPr>
          <w:rFonts w:ascii="Calibri" w:hAnsi="Calibri"/>
          <w:sz w:val="22"/>
          <w:szCs w:val="22"/>
          <w:lang w:eastAsia="en-GB"/>
        </w:rPr>
      </w:pPr>
    </w:p>
    <w:p w14:paraId="7CB6CCB0" w14:textId="5B00A223" w:rsidR="00787746" w:rsidRPr="007B7F5B" w:rsidRDefault="002228D0" w:rsidP="0009654D">
      <w:pPr>
        <w:rPr>
          <w:rFonts w:ascii="Calibri" w:hAnsi="Calibri"/>
          <w:b/>
          <w:iCs/>
          <w:sz w:val="22"/>
        </w:rPr>
      </w:pPr>
      <w:r>
        <w:rPr>
          <w:rFonts w:ascii="Calibri" w:hAnsi="Calibri"/>
          <w:b/>
          <w:iCs/>
          <w:sz w:val="22"/>
        </w:rPr>
        <w:t>3</w:t>
      </w:r>
      <w:r w:rsidR="003645B5">
        <w:rPr>
          <w:rFonts w:ascii="Calibri" w:hAnsi="Calibri"/>
          <w:b/>
          <w:iCs/>
          <w:sz w:val="22"/>
        </w:rPr>
        <w:t>.</w:t>
      </w:r>
      <w:r>
        <w:rPr>
          <w:rFonts w:ascii="Calibri" w:hAnsi="Calibri"/>
          <w:b/>
          <w:iCs/>
          <w:sz w:val="22"/>
        </w:rPr>
        <w:t>6</w:t>
      </w:r>
      <w:r w:rsidR="00787746" w:rsidRPr="007B7F5B">
        <w:rPr>
          <w:rFonts w:ascii="Calibri" w:hAnsi="Calibri"/>
          <w:b/>
          <w:iCs/>
          <w:sz w:val="22"/>
        </w:rPr>
        <w:t xml:space="preserve"> Duurzaamheid</w:t>
      </w:r>
    </w:p>
    <w:p w14:paraId="0BD77B18" w14:textId="77777777" w:rsidR="00787746" w:rsidRPr="007B7F5B" w:rsidRDefault="00787746" w:rsidP="0009654D">
      <w:pPr>
        <w:rPr>
          <w:rFonts w:ascii="Calibri" w:hAnsi="Calibri"/>
          <w:b/>
          <w:iCs/>
          <w:sz w:val="22"/>
        </w:rPr>
      </w:pPr>
    </w:p>
    <w:p w14:paraId="649A04A2" w14:textId="42BD1C28" w:rsidR="00787746" w:rsidRPr="007B7F5B" w:rsidRDefault="00787746" w:rsidP="0009654D">
      <w:pPr>
        <w:pStyle w:val="Default"/>
        <w:rPr>
          <w:rFonts w:cs="Times New Roman"/>
          <w:sz w:val="22"/>
          <w:szCs w:val="22"/>
          <w:lang w:val="nl-NL"/>
        </w:rPr>
      </w:pPr>
      <w:r w:rsidRPr="007B7F5B">
        <w:rPr>
          <w:rFonts w:cs="Times New Roman"/>
          <w:sz w:val="22"/>
          <w:szCs w:val="22"/>
          <w:lang w:val="nl-NL"/>
        </w:rPr>
        <w:t xml:space="preserve">Met betrekking tot duurzaam beleggen sluit de </w:t>
      </w:r>
      <w:r w:rsidR="00D42607">
        <w:rPr>
          <w:sz w:val="22"/>
          <w:lang w:val="nl-NL"/>
        </w:rPr>
        <w:t>............</w:t>
      </w:r>
      <w:r w:rsidRPr="007C2176">
        <w:rPr>
          <w:sz w:val="22"/>
          <w:lang w:val="nl-NL"/>
        </w:rPr>
        <w:t xml:space="preserve"> </w:t>
      </w:r>
      <w:r w:rsidRPr="007B7F5B">
        <w:rPr>
          <w:rFonts w:cs="Times New Roman"/>
          <w:sz w:val="22"/>
          <w:szCs w:val="22"/>
          <w:lang w:val="nl-NL"/>
        </w:rPr>
        <w:t xml:space="preserve">aan bij de </w:t>
      </w:r>
      <w:r w:rsidR="00644555">
        <w:rPr>
          <w:rFonts w:cs="Times New Roman"/>
          <w:sz w:val="22"/>
          <w:szCs w:val="22"/>
          <w:lang w:val="nl-NL"/>
        </w:rPr>
        <w:t>‘</w:t>
      </w:r>
      <w:r w:rsidR="00644555" w:rsidRPr="00644555">
        <w:rPr>
          <w:rFonts w:cs="Times New Roman"/>
          <w:sz w:val="22"/>
          <w:szCs w:val="22"/>
          <w:lang w:val="nl-NL"/>
        </w:rPr>
        <w:t>Richtlijn Financieel Beheer Goede Doelen’ van Goede Doelen Nederland</w:t>
      </w:r>
      <w:r w:rsidRPr="007B7F5B">
        <w:rPr>
          <w:rFonts w:cs="Times New Roman"/>
          <w:sz w:val="22"/>
          <w:szCs w:val="22"/>
          <w:lang w:val="nl-NL"/>
        </w:rPr>
        <w:t xml:space="preserve">. </w:t>
      </w:r>
      <w:r w:rsidR="00744A3E">
        <w:rPr>
          <w:rFonts w:cs="Times New Roman"/>
          <w:sz w:val="22"/>
          <w:szCs w:val="22"/>
          <w:lang w:val="nl-NL"/>
        </w:rPr>
        <w:t xml:space="preserve">De </w:t>
      </w:r>
      <w:r w:rsidR="00D42607">
        <w:rPr>
          <w:rFonts w:cs="Times New Roman"/>
          <w:sz w:val="22"/>
          <w:szCs w:val="22"/>
          <w:lang w:val="nl-NL"/>
        </w:rPr>
        <w:t>............</w:t>
      </w:r>
      <w:r w:rsidR="00744A3E">
        <w:rPr>
          <w:rFonts w:cs="Times New Roman"/>
          <w:sz w:val="22"/>
          <w:szCs w:val="22"/>
          <w:lang w:val="nl-NL"/>
        </w:rPr>
        <w:t xml:space="preserve"> </w:t>
      </w:r>
      <w:r w:rsidR="00744A3E" w:rsidRPr="00744A3E">
        <w:rPr>
          <w:rFonts w:cs="Times New Roman"/>
          <w:sz w:val="22"/>
          <w:szCs w:val="22"/>
          <w:lang w:val="nl-NL"/>
        </w:rPr>
        <w:t>streeft naar het toepassen van de criteria bij het beheer van alle assets in portefeuille, ongeacht de relatie van de vermogenstitel met de missie van de instelling. Deze bepaling heeft betrekking op staatsobligaties, beleggingen in aandelen, bedrijfsobligaties en vastgoed, maar blijft daar niet toe beperkt. Ook spaarvormen worden meegenomen in de overwegingen</w:t>
      </w:r>
      <w:r w:rsidR="00744A3E">
        <w:rPr>
          <w:rFonts w:cs="Times New Roman"/>
          <w:sz w:val="22"/>
          <w:szCs w:val="22"/>
          <w:lang w:val="nl-NL"/>
        </w:rPr>
        <w:t>.</w:t>
      </w:r>
    </w:p>
    <w:p w14:paraId="03B0AE8B" w14:textId="77777777" w:rsidR="00787746" w:rsidRDefault="00787746" w:rsidP="001B7623">
      <w:pPr>
        <w:pStyle w:val="Default"/>
        <w:rPr>
          <w:rFonts w:cs="Times New Roman"/>
          <w:sz w:val="22"/>
          <w:szCs w:val="22"/>
          <w:lang w:val="nl-NL"/>
        </w:rPr>
      </w:pPr>
    </w:p>
    <w:p w14:paraId="185DAA3E" w14:textId="3C6CFD81" w:rsidR="00F85971" w:rsidRDefault="00784C8D" w:rsidP="001B7623">
      <w:pPr>
        <w:pStyle w:val="Default"/>
        <w:rPr>
          <w:rFonts w:cs="Times New Roman"/>
          <w:sz w:val="22"/>
          <w:szCs w:val="22"/>
          <w:lang w:val="nl-NL"/>
        </w:rPr>
      </w:pPr>
      <w:r>
        <w:rPr>
          <w:rFonts w:cs="Times New Roman"/>
          <w:sz w:val="22"/>
          <w:szCs w:val="22"/>
          <w:lang w:val="nl-NL"/>
        </w:rPr>
        <w:br/>
      </w:r>
      <w:r>
        <w:rPr>
          <w:rFonts w:cs="Times New Roman"/>
          <w:sz w:val="22"/>
          <w:szCs w:val="22"/>
          <w:lang w:val="nl-NL"/>
        </w:rPr>
        <w:br/>
      </w:r>
      <w:r w:rsidR="00F85971" w:rsidRPr="00EF741B">
        <w:rPr>
          <w:rFonts w:cs="Times New Roman"/>
          <w:sz w:val="22"/>
          <w:szCs w:val="22"/>
          <w:lang w:val="nl-NL"/>
        </w:rPr>
        <w:t xml:space="preserve">Het beleggingsbeleid van de </w:t>
      </w:r>
      <w:r w:rsidR="00D42607">
        <w:rPr>
          <w:rFonts w:cs="Times New Roman"/>
          <w:sz w:val="22"/>
          <w:szCs w:val="22"/>
          <w:lang w:val="nl-NL"/>
        </w:rPr>
        <w:t>............</w:t>
      </w:r>
      <w:r w:rsidR="00F85971" w:rsidRPr="00EF741B">
        <w:rPr>
          <w:rFonts w:cs="Times New Roman"/>
          <w:sz w:val="22"/>
          <w:szCs w:val="22"/>
          <w:lang w:val="nl-NL"/>
        </w:rPr>
        <w:t xml:space="preserve"> is:</w:t>
      </w:r>
    </w:p>
    <w:p w14:paraId="5C58C2EC" w14:textId="77777777" w:rsidR="00F85971" w:rsidRPr="007B7F5B" w:rsidRDefault="00F85971" w:rsidP="001B7623">
      <w:pPr>
        <w:pStyle w:val="Default"/>
        <w:rPr>
          <w:rFonts w:cs="Times New Roman"/>
          <w:sz w:val="22"/>
          <w:szCs w:val="22"/>
          <w:lang w:val="nl-NL"/>
        </w:rPr>
      </w:pPr>
    </w:p>
    <w:p w14:paraId="2C24CF5B" w14:textId="77777777" w:rsidR="00787746" w:rsidRPr="007B7F5B" w:rsidRDefault="00787746" w:rsidP="001B7623">
      <w:pPr>
        <w:pStyle w:val="Default"/>
        <w:spacing w:after="82"/>
        <w:rPr>
          <w:rFonts w:cs="Times New Roman"/>
          <w:sz w:val="22"/>
          <w:szCs w:val="22"/>
          <w:lang w:val="nl-NL"/>
        </w:rPr>
      </w:pPr>
      <w:r w:rsidRPr="007B7F5B">
        <w:rPr>
          <w:rFonts w:cs="Times New Roman"/>
          <w:sz w:val="22"/>
          <w:szCs w:val="22"/>
          <w:lang w:val="nl-NL"/>
        </w:rPr>
        <w:t xml:space="preserve">1. </w:t>
      </w:r>
      <w:r w:rsidR="00A50B49" w:rsidRPr="00A50B49">
        <w:rPr>
          <w:rFonts w:cs="Times New Roman"/>
          <w:sz w:val="22"/>
          <w:szCs w:val="22"/>
          <w:lang w:val="nl-NL"/>
        </w:rPr>
        <w:t>Er mag niet worden belegd in producten die gerelateerd zijn aan controverses of incidenten op het gebied van</w:t>
      </w:r>
      <w:r w:rsidR="00A50B49">
        <w:rPr>
          <w:rFonts w:cs="Times New Roman"/>
          <w:sz w:val="22"/>
          <w:szCs w:val="22"/>
          <w:lang w:val="nl-NL"/>
        </w:rPr>
        <w:t>:</w:t>
      </w:r>
    </w:p>
    <w:p w14:paraId="1B33AD21" w14:textId="3D48F910" w:rsidR="00787746" w:rsidRPr="007B7F5B" w:rsidRDefault="00787746" w:rsidP="001B7623">
      <w:pPr>
        <w:pStyle w:val="Default"/>
        <w:numPr>
          <w:ilvl w:val="0"/>
          <w:numId w:val="9"/>
        </w:numPr>
        <w:spacing w:after="82"/>
        <w:rPr>
          <w:rFonts w:cs="Times New Roman"/>
          <w:sz w:val="22"/>
          <w:szCs w:val="22"/>
          <w:lang w:val="nl-NL"/>
        </w:rPr>
      </w:pPr>
      <w:r w:rsidRPr="007B7F5B">
        <w:rPr>
          <w:rFonts w:cs="Times New Roman"/>
          <w:sz w:val="22"/>
          <w:szCs w:val="22"/>
          <w:lang w:val="nl-NL"/>
        </w:rPr>
        <w:t>Milieu</w:t>
      </w:r>
      <w:r w:rsidR="00744A3E">
        <w:rPr>
          <w:rFonts w:cs="Times New Roman"/>
          <w:sz w:val="22"/>
          <w:szCs w:val="22"/>
          <w:lang w:val="nl-NL"/>
        </w:rPr>
        <w:t>, natuur en klimaat</w:t>
      </w:r>
      <w:r w:rsidR="00C9104E">
        <w:rPr>
          <w:rFonts w:cs="Times New Roman"/>
          <w:sz w:val="22"/>
          <w:szCs w:val="22"/>
          <w:lang w:val="nl-NL"/>
        </w:rPr>
        <w:t xml:space="preserve"> </w:t>
      </w:r>
    </w:p>
    <w:p w14:paraId="28858103" w14:textId="77777777" w:rsidR="00787746" w:rsidRPr="007B7F5B" w:rsidRDefault="00787746" w:rsidP="001B7623">
      <w:pPr>
        <w:pStyle w:val="Default"/>
        <w:numPr>
          <w:ilvl w:val="0"/>
          <w:numId w:val="9"/>
        </w:numPr>
        <w:spacing w:after="82"/>
        <w:rPr>
          <w:rFonts w:cs="Times New Roman"/>
          <w:sz w:val="22"/>
          <w:szCs w:val="22"/>
          <w:lang w:val="nl-NL"/>
        </w:rPr>
      </w:pPr>
      <w:r w:rsidRPr="007B7F5B">
        <w:rPr>
          <w:rFonts w:cs="Times New Roman"/>
          <w:sz w:val="22"/>
          <w:szCs w:val="22"/>
          <w:lang w:val="nl-NL"/>
        </w:rPr>
        <w:t>Sociale misstanden zoals kinderarbeid en het schenden van mensen</w:t>
      </w:r>
      <w:r w:rsidR="00744A3E">
        <w:rPr>
          <w:rFonts w:cs="Times New Roman"/>
          <w:sz w:val="22"/>
          <w:szCs w:val="22"/>
          <w:lang w:val="nl-NL"/>
        </w:rPr>
        <w:t xml:space="preserve">- of </w:t>
      </w:r>
      <w:r w:rsidRPr="007B7F5B">
        <w:rPr>
          <w:rFonts w:cs="Times New Roman"/>
          <w:sz w:val="22"/>
          <w:szCs w:val="22"/>
          <w:lang w:val="nl-NL"/>
        </w:rPr>
        <w:t>werknemersrechten</w:t>
      </w:r>
      <w:r w:rsidR="002B1729">
        <w:rPr>
          <w:rFonts w:cs="Times New Roman"/>
          <w:sz w:val="22"/>
          <w:szCs w:val="22"/>
          <w:lang w:val="nl-NL"/>
        </w:rPr>
        <w:t>;</w:t>
      </w:r>
    </w:p>
    <w:p w14:paraId="24B32882" w14:textId="3387B746" w:rsidR="00787746" w:rsidRPr="00DD4807" w:rsidRDefault="00787746" w:rsidP="001B7623">
      <w:pPr>
        <w:pStyle w:val="Default"/>
        <w:numPr>
          <w:ilvl w:val="0"/>
          <w:numId w:val="9"/>
        </w:numPr>
        <w:spacing w:after="82"/>
        <w:rPr>
          <w:rFonts w:cs="Times New Roman"/>
          <w:sz w:val="22"/>
          <w:szCs w:val="22"/>
        </w:rPr>
      </w:pPr>
      <w:r w:rsidRPr="00DD4807">
        <w:rPr>
          <w:rFonts w:cs="Times New Roman"/>
          <w:sz w:val="22"/>
          <w:szCs w:val="22"/>
        </w:rPr>
        <w:t>(Corporate) governance</w:t>
      </w:r>
      <w:r w:rsidR="00DD4807" w:rsidRPr="00DD4807">
        <w:rPr>
          <w:rFonts w:cs="Times New Roman"/>
          <w:sz w:val="22"/>
          <w:szCs w:val="22"/>
        </w:rPr>
        <w:t xml:space="preserve"> issues</w:t>
      </w:r>
      <w:r w:rsidR="00C9104E">
        <w:rPr>
          <w:rFonts w:cs="Times New Roman"/>
          <w:sz w:val="22"/>
          <w:szCs w:val="22"/>
        </w:rPr>
        <w:t xml:space="preserve"> </w:t>
      </w:r>
      <w:proofErr w:type="spellStart"/>
      <w:r w:rsidRPr="00DD4807">
        <w:rPr>
          <w:rFonts w:cs="Times New Roman"/>
          <w:sz w:val="22"/>
          <w:szCs w:val="22"/>
        </w:rPr>
        <w:t>zoals</w:t>
      </w:r>
      <w:proofErr w:type="spellEnd"/>
      <w:r w:rsidRPr="00DD4807">
        <w:rPr>
          <w:rFonts w:cs="Times New Roman"/>
          <w:sz w:val="22"/>
          <w:szCs w:val="22"/>
        </w:rPr>
        <w:t xml:space="preserve"> </w:t>
      </w:r>
      <w:proofErr w:type="spellStart"/>
      <w:r w:rsidR="002B1729">
        <w:rPr>
          <w:rFonts w:cs="Times New Roman"/>
          <w:sz w:val="22"/>
          <w:szCs w:val="22"/>
        </w:rPr>
        <w:t>corruptie</w:t>
      </w:r>
      <w:proofErr w:type="spellEnd"/>
      <w:r w:rsidR="0004725B">
        <w:rPr>
          <w:rFonts w:cs="Times New Roman"/>
          <w:sz w:val="22"/>
          <w:szCs w:val="22"/>
        </w:rPr>
        <w:t>.</w:t>
      </w:r>
    </w:p>
    <w:p w14:paraId="0825C398" w14:textId="77777777" w:rsidR="00787746" w:rsidRPr="00DD4807" w:rsidRDefault="00787746" w:rsidP="001B7623">
      <w:pPr>
        <w:pStyle w:val="Default"/>
        <w:ind w:left="708"/>
        <w:rPr>
          <w:rFonts w:cs="Times New Roman"/>
          <w:sz w:val="22"/>
          <w:szCs w:val="22"/>
        </w:rPr>
      </w:pPr>
    </w:p>
    <w:p w14:paraId="2BCD52D2" w14:textId="77777777" w:rsidR="00787746" w:rsidRPr="007B7F5B" w:rsidRDefault="00787746" w:rsidP="001B7623">
      <w:pPr>
        <w:pStyle w:val="Default"/>
        <w:spacing w:after="82"/>
        <w:rPr>
          <w:rFonts w:cs="Times New Roman"/>
          <w:sz w:val="22"/>
          <w:szCs w:val="22"/>
          <w:lang w:val="nl-NL"/>
        </w:rPr>
      </w:pPr>
      <w:r w:rsidRPr="007B7F5B">
        <w:rPr>
          <w:rFonts w:cs="Times New Roman"/>
          <w:sz w:val="22"/>
          <w:szCs w:val="22"/>
          <w:lang w:val="nl-NL"/>
        </w:rPr>
        <w:t xml:space="preserve">2. </w:t>
      </w:r>
      <w:r w:rsidR="00A50B49">
        <w:rPr>
          <w:rFonts w:cs="Times New Roman"/>
          <w:sz w:val="22"/>
          <w:szCs w:val="22"/>
          <w:lang w:val="nl-NL"/>
        </w:rPr>
        <w:t>Er mag niet worden belegd in producten die gerelateerd zijn aan:</w:t>
      </w:r>
    </w:p>
    <w:p w14:paraId="7EEF0964" w14:textId="77777777" w:rsidR="00787746" w:rsidRPr="007B7F5B" w:rsidRDefault="00787746" w:rsidP="00AB0180">
      <w:pPr>
        <w:pStyle w:val="Default"/>
        <w:numPr>
          <w:ilvl w:val="0"/>
          <w:numId w:val="10"/>
        </w:numPr>
        <w:spacing w:after="82"/>
        <w:rPr>
          <w:rFonts w:cs="Times New Roman"/>
          <w:sz w:val="22"/>
          <w:szCs w:val="22"/>
          <w:lang w:val="nl-NL"/>
        </w:rPr>
      </w:pPr>
      <w:r w:rsidRPr="007B7F5B">
        <w:rPr>
          <w:rFonts w:cs="Times New Roman"/>
          <w:sz w:val="22"/>
          <w:szCs w:val="22"/>
          <w:lang w:val="nl-NL"/>
        </w:rPr>
        <w:t>Bestrijdingsmiddelen</w:t>
      </w:r>
      <w:r w:rsidR="00A50B49">
        <w:rPr>
          <w:rFonts w:cs="Times New Roman"/>
          <w:sz w:val="22"/>
          <w:szCs w:val="22"/>
          <w:lang w:val="nl-NL"/>
        </w:rPr>
        <w:t>;</w:t>
      </w:r>
    </w:p>
    <w:p w14:paraId="33484FFE" w14:textId="047975BE" w:rsidR="00E15DC8" w:rsidRDefault="00A50B49" w:rsidP="0015679F">
      <w:pPr>
        <w:pStyle w:val="Default"/>
        <w:numPr>
          <w:ilvl w:val="0"/>
          <w:numId w:val="10"/>
        </w:numPr>
        <w:spacing w:after="82"/>
        <w:rPr>
          <w:rFonts w:cs="Times New Roman"/>
          <w:sz w:val="22"/>
          <w:szCs w:val="22"/>
          <w:lang w:val="nl-NL"/>
        </w:rPr>
      </w:pPr>
      <w:r>
        <w:rPr>
          <w:rFonts w:cs="Times New Roman"/>
          <w:sz w:val="22"/>
          <w:szCs w:val="22"/>
          <w:lang w:val="nl-NL"/>
        </w:rPr>
        <w:t>H</w:t>
      </w:r>
      <w:r w:rsidR="00787746" w:rsidRPr="007B7F5B">
        <w:rPr>
          <w:rFonts w:cs="Times New Roman"/>
          <w:sz w:val="22"/>
          <w:szCs w:val="22"/>
          <w:lang w:val="nl-NL"/>
        </w:rPr>
        <w:t>et gebruik maken van genetische modificatie technieken</w:t>
      </w:r>
      <w:r w:rsidR="000A7FA8">
        <w:rPr>
          <w:rFonts w:cs="Times New Roman"/>
          <w:sz w:val="22"/>
          <w:szCs w:val="22"/>
          <w:lang w:val="nl-NL"/>
        </w:rPr>
        <w:t>;</w:t>
      </w:r>
      <w:r w:rsidR="00C9104E">
        <w:rPr>
          <w:rFonts w:cs="Times New Roman"/>
          <w:sz w:val="22"/>
          <w:szCs w:val="22"/>
          <w:lang w:val="nl-NL"/>
        </w:rPr>
        <w:t xml:space="preserve"> </w:t>
      </w:r>
    </w:p>
    <w:p w14:paraId="7831971D" w14:textId="2B972C0E" w:rsidR="00787746" w:rsidRPr="007B7F5B" w:rsidRDefault="00A117E0" w:rsidP="0015679F">
      <w:pPr>
        <w:pStyle w:val="Default"/>
        <w:numPr>
          <w:ilvl w:val="0"/>
          <w:numId w:val="10"/>
        </w:numPr>
        <w:spacing w:after="82"/>
        <w:rPr>
          <w:rFonts w:cs="Times New Roman"/>
          <w:sz w:val="22"/>
          <w:szCs w:val="22"/>
          <w:lang w:val="nl-NL"/>
        </w:rPr>
      </w:pPr>
      <w:r>
        <w:rPr>
          <w:rFonts w:cs="Times New Roman"/>
          <w:sz w:val="22"/>
          <w:szCs w:val="22"/>
          <w:lang w:val="nl-NL"/>
        </w:rPr>
        <w:t>B</w:t>
      </w:r>
      <w:r w:rsidR="00787746" w:rsidRPr="007B7F5B">
        <w:rPr>
          <w:rFonts w:cs="Times New Roman"/>
          <w:sz w:val="22"/>
          <w:szCs w:val="22"/>
          <w:lang w:val="nl-NL"/>
        </w:rPr>
        <w:t>ont</w:t>
      </w:r>
      <w:r w:rsidR="0009654D">
        <w:rPr>
          <w:rFonts w:cs="Times New Roman"/>
          <w:sz w:val="22"/>
          <w:szCs w:val="22"/>
          <w:lang w:val="nl-NL"/>
        </w:rPr>
        <w:t xml:space="preserve"> en bepaalde leersoorten</w:t>
      </w:r>
      <w:r w:rsidR="00A50B49">
        <w:rPr>
          <w:rFonts w:cs="Times New Roman"/>
          <w:sz w:val="22"/>
          <w:szCs w:val="22"/>
          <w:lang w:val="nl-NL"/>
        </w:rPr>
        <w:t>;</w:t>
      </w:r>
      <w:r w:rsidR="00787746" w:rsidRPr="007B7F5B">
        <w:rPr>
          <w:rFonts w:cs="Times New Roman"/>
          <w:sz w:val="22"/>
          <w:szCs w:val="22"/>
          <w:lang w:val="nl-NL"/>
        </w:rPr>
        <w:t xml:space="preserve"> </w:t>
      </w:r>
    </w:p>
    <w:p w14:paraId="217F3D8E" w14:textId="77777777" w:rsidR="00787746" w:rsidRPr="007B7F5B" w:rsidRDefault="00A50B49" w:rsidP="00AB0180">
      <w:pPr>
        <w:pStyle w:val="Default"/>
        <w:numPr>
          <w:ilvl w:val="0"/>
          <w:numId w:val="10"/>
        </w:numPr>
        <w:spacing w:after="82"/>
        <w:rPr>
          <w:rFonts w:cs="Times New Roman"/>
          <w:sz w:val="22"/>
          <w:szCs w:val="22"/>
          <w:lang w:val="nl-NL"/>
        </w:rPr>
      </w:pPr>
      <w:r>
        <w:rPr>
          <w:rFonts w:cs="Times New Roman"/>
          <w:sz w:val="22"/>
          <w:szCs w:val="22"/>
          <w:lang w:val="nl-NL"/>
        </w:rPr>
        <w:t>V</w:t>
      </w:r>
      <w:r w:rsidR="00787746" w:rsidRPr="007B7F5B">
        <w:rPr>
          <w:rFonts w:cs="Times New Roman"/>
          <w:sz w:val="22"/>
          <w:szCs w:val="22"/>
          <w:lang w:val="nl-NL"/>
        </w:rPr>
        <w:t>uurwapens</w:t>
      </w:r>
      <w:r>
        <w:rPr>
          <w:rFonts w:cs="Times New Roman"/>
          <w:sz w:val="22"/>
          <w:szCs w:val="22"/>
          <w:lang w:val="nl-NL"/>
        </w:rPr>
        <w:t>;</w:t>
      </w:r>
    </w:p>
    <w:p w14:paraId="29693A8B" w14:textId="77777777" w:rsidR="00787746" w:rsidRPr="007B7F5B" w:rsidRDefault="00787746" w:rsidP="00AB0180">
      <w:pPr>
        <w:pStyle w:val="Default"/>
        <w:numPr>
          <w:ilvl w:val="0"/>
          <w:numId w:val="10"/>
        </w:numPr>
        <w:spacing w:after="82"/>
        <w:rPr>
          <w:rFonts w:cs="Times New Roman"/>
          <w:sz w:val="22"/>
          <w:szCs w:val="22"/>
          <w:lang w:val="nl-NL"/>
        </w:rPr>
      </w:pPr>
      <w:r w:rsidRPr="007B7F5B">
        <w:rPr>
          <w:rFonts w:cs="Times New Roman"/>
          <w:sz w:val="22"/>
          <w:szCs w:val="22"/>
          <w:lang w:val="nl-NL"/>
        </w:rPr>
        <w:t>Defensie gerelateerde opdrachten</w:t>
      </w:r>
      <w:r w:rsidR="00A50B49">
        <w:rPr>
          <w:rFonts w:cs="Times New Roman"/>
          <w:sz w:val="22"/>
          <w:szCs w:val="22"/>
          <w:lang w:val="nl-NL"/>
        </w:rPr>
        <w:t>;</w:t>
      </w:r>
    </w:p>
    <w:p w14:paraId="44F7A4B0" w14:textId="77777777" w:rsidR="00787746" w:rsidRPr="007B7F5B" w:rsidRDefault="00787746" w:rsidP="00AB0180">
      <w:pPr>
        <w:pStyle w:val="Default"/>
        <w:numPr>
          <w:ilvl w:val="0"/>
          <w:numId w:val="10"/>
        </w:numPr>
        <w:spacing w:after="82"/>
        <w:rPr>
          <w:rFonts w:cs="Times New Roman"/>
          <w:sz w:val="22"/>
          <w:szCs w:val="22"/>
          <w:lang w:val="nl-NL"/>
        </w:rPr>
      </w:pPr>
      <w:r w:rsidRPr="007B7F5B">
        <w:rPr>
          <w:rFonts w:cs="Times New Roman"/>
          <w:sz w:val="22"/>
          <w:szCs w:val="22"/>
          <w:lang w:val="nl-NL"/>
        </w:rPr>
        <w:t>Opwekking van kernenergie</w:t>
      </w:r>
      <w:r w:rsidR="00A50B49">
        <w:rPr>
          <w:rFonts w:cs="Times New Roman"/>
          <w:sz w:val="22"/>
          <w:szCs w:val="22"/>
          <w:lang w:val="nl-NL"/>
        </w:rPr>
        <w:t>;</w:t>
      </w:r>
      <w:r w:rsidRPr="007B7F5B">
        <w:rPr>
          <w:rFonts w:cs="Times New Roman"/>
          <w:sz w:val="22"/>
          <w:szCs w:val="22"/>
          <w:lang w:val="nl-NL"/>
        </w:rPr>
        <w:t xml:space="preserve"> </w:t>
      </w:r>
    </w:p>
    <w:p w14:paraId="6B75C4A2" w14:textId="77777777" w:rsidR="00787746" w:rsidRPr="007B7F5B" w:rsidRDefault="00787746" w:rsidP="00AB0180">
      <w:pPr>
        <w:pStyle w:val="Default"/>
        <w:numPr>
          <w:ilvl w:val="0"/>
          <w:numId w:val="10"/>
        </w:numPr>
        <w:spacing w:after="82"/>
        <w:rPr>
          <w:rFonts w:cs="Times New Roman"/>
          <w:sz w:val="22"/>
          <w:szCs w:val="22"/>
          <w:lang w:val="nl-NL"/>
        </w:rPr>
      </w:pPr>
      <w:r w:rsidRPr="007B7F5B">
        <w:rPr>
          <w:rFonts w:cs="Times New Roman"/>
          <w:sz w:val="22"/>
          <w:szCs w:val="22"/>
          <w:lang w:val="nl-NL"/>
        </w:rPr>
        <w:t>Dienstverlening gerelateerd aan kernenergie</w:t>
      </w:r>
      <w:r w:rsidR="00A50B49">
        <w:rPr>
          <w:rFonts w:cs="Times New Roman"/>
          <w:sz w:val="22"/>
          <w:szCs w:val="22"/>
          <w:lang w:val="nl-NL"/>
        </w:rPr>
        <w:t>;</w:t>
      </w:r>
    </w:p>
    <w:p w14:paraId="20056CBF" w14:textId="77777777" w:rsidR="00787746" w:rsidRPr="007B7F5B" w:rsidRDefault="00A117E0" w:rsidP="0015679F">
      <w:pPr>
        <w:pStyle w:val="Default"/>
        <w:numPr>
          <w:ilvl w:val="0"/>
          <w:numId w:val="10"/>
        </w:numPr>
        <w:spacing w:after="82"/>
        <w:rPr>
          <w:rFonts w:cs="Times New Roman"/>
          <w:sz w:val="22"/>
          <w:szCs w:val="22"/>
          <w:lang w:val="nl-NL"/>
        </w:rPr>
      </w:pPr>
      <w:r>
        <w:rPr>
          <w:rFonts w:cs="Times New Roman"/>
          <w:sz w:val="22"/>
          <w:szCs w:val="22"/>
          <w:lang w:val="nl-NL"/>
        </w:rPr>
        <w:t>Tabak</w:t>
      </w:r>
      <w:r w:rsidR="00A50B49">
        <w:rPr>
          <w:rFonts w:cs="Times New Roman"/>
          <w:sz w:val="22"/>
          <w:szCs w:val="22"/>
          <w:lang w:val="nl-NL"/>
        </w:rPr>
        <w:t>;</w:t>
      </w:r>
      <w:r w:rsidR="00787746" w:rsidRPr="007B7F5B">
        <w:rPr>
          <w:rFonts w:cs="Times New Roman"/>
          <w:sz w:val="22"/>
          <w:szCs w:val="22"/>
          <w:lang w:val="nl-NL"/>
        </w:rPr>
        <w:t xml:space="preserve"> </w:t>
      </w:r>
    </w:p>
    <w:p w14:paraId="0B299276" w14:textId="1436DB42" w:rsidR="00787746" w:rsidRPr="007B7F5B" w:rsidRDefault="00A117E0" w:rsidP="00AB0180">
      <w:pPr>
        <w:pStyle w:val="Default"/>
        <w:numPr>
          <w:ilvl w:val="0"/>
          <w:numId w:val="10"/>
        </w:numPr>
        <w:spacing w:after="82"/>
        <w:rPr>
          <w:rFonts w:cs="Times New Roman"/>
          <w:sz w:val="22"/>
          <w:szCs w:val="22"/>
          <w:lang w:val="nl-NL"/>
        </w:rPr>
      </w:pPr>
      <w:r>
        <w:rPr>
          <w:rFonts w:cs="Times New Roman"/>
          <w:sz w:val="22"/>
          <w:szCs w:val="22"/>
          <w:lang w:val="nl-NL"/>
        </w:rPr>
        <w:t>A</w:t>
      </w:r>
      <w:r w:rsidR="00787746" w:rsidRPr="007B7F5B">
        <w:rPr>
          <w:rFonts w:cs="Times New Roman"/>
          <w:sz w:val="22"/>
          <w:szCs w:val="22"/>
          <w:lang w:val="nl-NL"/>
        </w:rPr>
        <w:t>lcoholhoudende dranken</w:t>
      </w:r>
      <w:r w:rsidR="000A7FA8">
        <w:rPr>
          <w:rFonts w:cs="Times New Roman"/>
          <w:sz w:val="22"/>
          <w:szCs w:val="22"/>
          <w:lang w:val="nl-NL"/>
        </w:rPr>
        <w:t>;</w:t>
      </w:r>
    </w:p>
    <w:p w14:paraId="54E47FC0" w14:textId="6ECAD40E" w:rsidR="00787746" w:rsidRPr="007B7F5B" w:rsidRDefault="00A50B49" w:rsidP="00967546">
      <w:pPr>
        <w:pStyle w:val="Default"/>
        <w:numPr>
          <w:ilvl w:val="0"/>
          <w:numId w:val="10"/>
        </w:numPr>
        <w:spacing w:after="82"/>
        <w:rPr>
          <w:rFonts w:cs="Times New Roman"/>
          <w:sz w:val="22"/>
          <w:szCs w:val="22"/>
          <w:lang w:val="nl-NL"/>
        </w:rPr>
      </w:pPr>
      <w:r>
        <w:rPr>
          <w:rFonts w:cs="Times New Roman"/>
          <w:sz w:val="22"/>
          <w:szCs w:val="22"/>
          <w:lang w:val="nl-NL"/>
        </w:rPr>
        <w:t>H</w:t>
      </w:r>
      <w:r w:rsidR="00787746" w:rsidRPr="007B7F5B">
        <w:rPr>
          <w:rFonts w:cs="Times New Roman"/>
          <w:sz w:val="22"/>
          <w:szCs w:val="22"/>
          <w:lang w:val="nl-NL"/>
        </w:rPr>
        <w:t>et aanzetten tot gokverslaving</w:t>
      </w:r>
      <w:r w:rsidRPr="000A7FA8">
        <w:rPr>
          <w:rFonts w:cs="Times New Roman"/>
          <w:color w:val="auto"/>
          <w:sz w:val="22"/>
          <w:szCs w:val="22"/>
          <w:lang w:val="nl-NL"/>
        </w:rPr>
        <w:t>;</w:t>
      </w:r>
    </w:p>
    <w:p w14:paraId="5D05BC25" w14:textId="77777777" w:rsidR="00787746" w:rsidRPr="00755BE5" w:rsidRDefault="00A117E0" w:rsidP="00F76A9B">
      <w:pPr>
        <w:pStyle w:val="Default"/>
        <w:numPr>
          <w:ilvl w:val="0"/>
          <w:numId w:val="10"/>
        </w:numPr>
        <w:spacing w:after="82"/>
        <w:ind w:left="714" w:hanging="357"/>
        <w:rPr>
          <w:rFonts w:cs="Times New Roman"/>
          <w:sz w:val="22"/>
          <w:szCs w:val="22"/>
          <w:lang w:val="nl-NL"/>
        </w:rPr>
      </w:pPr>
      <w:r w:rsidRPr="00755BE5">
        <w:rPr>
          <w:rFonts w:cs="Times New Roman"/>
          <w:sz w:val="22"/>
          <w:szCs w:val="22"/>
          <w:lang w:val="nl-NL"/>
        </w:rPr>
        <w:t>Pornografisch materiaal</w:t>
      </w:r>
      <w:r w:rsidR="00A50B49" w:rsidRPr="00755BE5">
        <w:rPr>
          <w:rFonts w:cs="Times New Roman"/>
          <w:sz w:val="22"/>
          <w:szCs w:val="22"/>
          <w:lang w:val="nl-NL"/>
        </w:rPr>
        <w:t>;</w:t>
      </w:r>
    </w:p>
    <w:p w14:paraId="400FB7A6" w14:textId="10C2FEB6" w:rsidR="00787746" w:rsidRPr="007B7F5B" w:rsidRDefault="00A50B49" w:rsidP="00AB0180">
      <w:pPr>
        <w:pStyle w:val="Default"/>
        <w:numPr>
          <w:ilvl w:val="0"/>
          <w:numId w:val="10"/>
        </w:numPr>
        <w:spacing w:after="82"/>
        <w:rPr>
          <w:rFonts w:cs="Times New Roman"/>
          <w:sz w:val="22"/>
          <w:szCs w:val="22"/>
          <w:lang w:val="nl-NL"/>
        </w:rPr>
      </w:pPr>
      <w:r>
        <w:rPr>
          <w:rFonts w:cs="Times New Roman"/>
          <w:sz w:val="22"/>
          <w:szCs w:val="22"/>
          <w:lang w:val="nl-NL"/>
        </w:rPr>
        <w:t>B</w:t>
      </w:r>
      <w:r w:rsidR="00787746" w:rsidRPr="007B7F5B">
        <w:rPr>
          <w:rFonts w:cs="Times New Roman"/>
          <w:sz w:val="22"/>
          <w:szCs w:val="22"/>
          <w:lang w:val="nl-NL"/>
        </w:rPr>
        <w:t>io-industriële productie</w:t>
      </w:r>
      <w:r w:rsidR="000A7FA8">
        <w:rPr>
          <w:rFonts w:cs="Times New Roman"/>
          <w:sz w:val="22"/>
          <w:szCs w:val="22"/>
          <w:lang w:val="nl-NL"/>
        </w:rPr>
        <w:t>.</w:t>
      </w:r>
    </w:p>
    <w:p w14:paraId="6FAA933D" w14:textId="77777777" w:rsidR="00506647" w:rsidRDefault="00506647" w:rsidP="00C82B0B">
      <w:pPr>
        <w:pStyle w:val="Default"/>
        <w:rPr>
          <w:rFonts w:cs="Times New Roman"/>
          <w:sz w:val="22"/>
          <w:szCs w:val="22"/>
          <w:lang w:val="nl-NL"/>
        </w:rPr>
      </w:pPr>
    </w:p>
    <w:p w14:paraId="7DDF84D8" w14:textId="77777777" w:rsidR="00C82B0B" w:rsidRPr="00C82B0B" w:rsidRDefault="00C82B0B" w:rsidP="00C82B0B">
      <w:pPr>
        <w:pStyle w:val="Default"/>
        <w:rPr>
          <w:rFonts w:cs="Times New Roman"/>
          <w:sz w:val="22"/>
          <w:szCs w:val="22"/>
          <w:lang w:val="nl-NL"/>
        </w:rPr>
      </w:pPr>
      <w:r>
        <w:rPr>
          <w:rFonts w:cs="Times New Roman"/>
          <w:sz w:val="22"/>
          <w:szCs w:val="22"/>
          <w:lang w:val="nl-NL"/>
        </w:rPr>
        <w:t>3. D</w:t>
      </w:r>
      <w:r w:rsidRPr="00C82B0B">
        <w:rPr>
          <w:rFonts w:cs="Times New Roman"/>
          <w:sz w:val="22"/>
          <w:szCs w:val="22"/>
          <w:lang w:val="nl-NL"/>
        </w:rPr>
        <w:t>ierproeven zijn uitgesloten, met uitzondering van dierproeven ten behoeve van de ontwikkeling van medicijnen en in situaties waar een wettelijke verplichting van dierproeven voor medicijnen geldt. Als er dierproeven plaats moeten vinden, dan dient de onderneming wel te beschikken over een adequaat beleid daaromtrent.</w:t>
      </w:r>
    </w:p>
    <w:p w14:paraId="02F842CA" w14:textId="77777777" w:rsidR="00C82B0B" w:rsidRPr="007B7F5B" w:rsidRDefault="00C82B0B" w:rsidP="00C82B0B">
      <w:pPr>
        <w:pStyle w:val="Default"/>
        <w:spacing w:after="82"/>
        <w:rPr>
          <w:rFonts w:cs="Times New Roman"/>
          <w:sz w:val="22"/>
          <w:szCs w:val="22"/>
          <w:lang w:val="nl-NL"/>
        </w:rPr>
      </w:pPr>
    </w:p>
    <w:p w14:paraId="0926FDA7" w14:textId="77777777" w:rsidR="00C82B0B" w:rsidRDefault="004A1B80" w:rsidP="00644555">
      <w:pPr>
        <w:pStyle w:val="Default"/>
        <w:rPr>
          <w:rFonts w:cs="Times New Roman"/>
          <w:color w:val="auto"/>
          <w:sz w:val="22"/>
          <w:szCs w:val="22"/>
          <w:lang w:val="nl-NL"/>
        </w:rPr>
      </w:pPr>
      <w:r>
        <w:rPr>
          <w:rFonts w:cs="Times New Roman"/>
          <w:sz w:val="22"/>
          <w:szCs w:val="22"/>
          <w:lang w:val="nl-NL"/>
        </w:rPr>
        <w:t>4</w:t>
      </w:r>
      <w:r w:rsidR="00787746" w:rsidRPr="007B7F5B">
        <w:rPr>
          <w:rFonts w:cs="Times New Roman"/>
          <w:color w:val="auto"/>
          <w:sz w:val="22"/>
          <w:szCs w:val="22"/>
          <w:lang w:val="nl-NL"/>
        </w:rPr>
        <w:t>.</w:t>
      </w:r>
      <w:r w:rsidR="00C82B0B">
        <w:rPr>
          <w:rFonts w:cs="Times New Roman"/>
          <w:color w:val="auto"/>
          <w:sz w:val="22"/>
          <w:szCs w:val="22"/>
          <w:lang w:val="nl-NL"/>
        </w:rPr>
        <w:t xml:space="preserve"> </w:t>
      </w:r>
      <w:r w:rsidR="00C82B0B" w:rsidRPr="00C82B0B">
        <w:rPr>
          <w:rFonts w:cs="Times New Roman"/>
          <w:sz w:val="22"/>
          <w:szCs w:val="22"/>
          <w:lang w:val="nl-NL"/>
        </w:rPr>
        <w:t xml:space="preserve">Bij de samenstelling van de portefeuille wordt ernaar gestreefd het “best in class” principe in acht te nemen. Concreet betekent dit dat bij voorkeur uitsluitend wordt belegd in waarden </w:t>
      </w:r>
      <w:r w:rsidR="00874321">
        <w:rPr>
          <w:rFonts w:cs="Times New Roman"/>
          <w:sz w:val="22"/>
          <w:szCs w:val="22"/>
          <w:lang w:val="nl-NL"/>
        </w:rPr>
        <w:t xml:space="preserve">van partijen </w:t>
      </w:r>
      <w:r w:rsidR="00C82B0B" w:rsidRPr="00C82B0B">
        <w:rPr>
          <w:rFonts w:cs="Times New Roman"/>
          <w:sz w:val="22"/>
          <w:szCs w:val="22"/>
          <w:lang w:val="nl-NL"/>
        </w:rPr>
        <w:t>die in hun sector tot de meest duurzame 50% behoren</w:t>
      </w:r>
      <w:r w:rsidR="00C82B0B">
        <w:rPr>
          <w:rFonts w:cs="Times New Roman"/>
          <w:color w:val="auto"/>
          <w:sz w:val="22"/>
          <w:szCs w:val="22"/>
          <w:lang w:val="nl-NL"/>
        </w:rPr>
        <w:t>.</w:t>
      </w:r>
    </w:p>
    <w:p w14:paraId="37DDA0F9" w14:textId="77777777" w:rsidR="00C82B0B" w:rsidRDefault="00C82B0B" w:rsidP="00644555">
      <w:pPr>
        <w:pStyle w:val="Default"/>
        <w:rPr>
          <w:rFonts w:cs="Times New Roman"/>
          <w:color w:val="auto"/>
          <w:sz w:val="22"/>
          <w:szCs w:val="22"/>
          <w:lang w:val="nl-NL"/>
        </w:rPr>
      </w:pPr>
    </w:p>
    <w:p w14:paraId="4C754EDB" w14:textId="41549E01" w:rsidR="001471FB" w:rsidRDefault="00D20843" w:rsidP="001471FB">
      <w:pPr>
        <w:pStyle w:val="Geenafstand"/>
        <w:rPr>
          <w:b/>
        </w:rPr>
      </w:pPr>
      <w:r>
        <w:rPr>
          <w:b/>
        </w:rPr>
        <w:t>3</w:t>
      </w:r>
      <w:r w:rsidR="00697073">
        <w:rPr>
          <w:b/>
        </w:rPr>
        <w:t>.</w:t>
      </w:r>
      <w:r>
        <w:rPr>
          <w:b/>
        </w:rPr>
        <w:t>7</w:t>
      </w:r>
      <w:r w:rsidR="00787746" w:rsidRPr="007B7F5B">
        <w:rPr>
          <w:b/>
        </w:rPr>
        <w:t xml:space="preserve"> </w:t>
      </w:r>
      <w:r w:rsidR="001471FB">
        <w:rPr>
          <w:b/>
        </w:rPr>
        <w:t>Vermogensbeheerder</w:t>
      </w:r>
    </w:p>
    <w:p w14:paraId="4B5F1361" w14:textId="77777777" w:rsidR="001471FB" w:rsidRDefault="001471FB" w:rsidP="001471FB">
      <w:pPr>
        <w:pStyle w:val="Geenafstand"/>
        <w:rPr>
          <w:lang w:eastAsia="en-GB"/>
        </w:rPr>
      </w:pPr>
      <w:r w:rsidRPr="00012374">
        <w:rPr>
          <w:lang w:eastAsia="en-GB"/>
        </w:rPr>
        <w:t>Het beheer van de voor beleggingen beschikbare gelden zal ondergebracht worden bij, onder toezicht van de Autoriteit Financ</w:t>
      </w:r>
      <w:r w:rsidR="00012374">
        <w:rPr>
          <w:lang w:eastAsia="en-GB"/>
        </w:rPr>
        <w:t>iël</w:t>
      </w:r>
      <w:r w:rsidRPr="00012374">
        <w:rPr>
          <w:lang w:eastAsia="en-GB"/>
        </w:rPr>
        <w:t xml:space="preserve">e Markten (AFM) staande, externe vermogensbeheerder(s). </w:t>
      </w:r>
      <w:r w:rsidRPr="005A12C1">
        <w:rPr>
          <w:lang w:eastAsia="en-GB"/>
        </w:rPr>
        <w:br/>
      </w:r>
      <w:r w:rsidRPr="00012374">
        <w:rPr>
          <w:lang w:eastAsia="en-GB"/>
        </w:rPr>
        <w:t xml:space="preserve">De externe vermogensbeheerder dient binnen het door het bestuur geformuleerde raamwerk van </w:t>
      </w:r>
      <w:r w:rsidRPr="005A12C1">
        <w:rPr>
          <w:lang w:eastAsia="en-GB"/>
        </w:rPr>
        <w:br/>
      </w:r>
      <w:r w:rsidRPr="00012374">
        <w:rPr>
          <w:lang w:eastAsia="en-GB"/>
        </w:rPr>
        <w:t xml:space="preserve">beleggingsrichtlijnen middels een actief beleggingsbeleid een optimaal beleggingsresultaat te </w:t>
      </w:r>
      <w:r w:rsidRPr="005A12C1">
        <w:rPr>
          <w:lang w:eastAsia="en-GB"/>
        </w:rPr>
        <w:br/>
      </w:r>
      <w:r w:rsidRPr="00012374">
        <w:rPr>
          <w:lang w:eastAsia="en-GB"/>
        </w:rPr>
        <w:t>realiseren.</w:t>
      </w:r>
    </w:p>
    <w:p w14:paraId="197758B1" w14:textId="77777777" w:rsidR="00012374" w:rsidRPr="00012374" w:rsidRDefault="00012374" w:rsidP="001471FB">
      <w:pPr>
        <w:pStyle w:val="Geenafstand"/>
        <w:rPr>
          <w:lang w:eastAsia="en-GB"/>
        </w:rPr>
      </w:pPr>
    </w:p>
    <w:p w14:paraId="129239B9" w14:textId="39BF1CF1" w:rsidR="001471FB" w:rsidRDefault="001471FB" w:rsidP="00012374">
      <w:pPr>
        <w:pStyle w:val="Geenafstand"/>
        <w:rPr>
          <w:lang w:eastAsia="en-GB"/>
        </w:rPr>
      </w:pPr>
      <w:r w:rsidRPr="00012374">
        <w:rPr>
          <w:lang w:eastAsia="en-GB"/>
        </w:rPr>
        <w:t>De externe vermogensbeheerder is verantwoordelijk voor zijn interne</w:t>
      </w:r>
      <w:r w:rsidR="00012374">
        <w:rPr>
          <w:lang w:eastAsia="en-GB"/>
        </w:rPr>
        <w:t xml:space="preserve"> </w:t>
      </w:r>
      <w:r w:rsidRPr="00012374">
        <w:rPr>
          <w:lang w:eastAsia="en-GB"/>
        </w:rPr>
        <w:t xml:space="preserve">controlemaatregelen gericht op de juistheid en volledigheid van de beleggingen en </w:t>
      </w:r>
      <w:r w:rsidR="00012374">
        <w:rPr>
          <w:lang w:eastAsia="en-GB"/>
        </w:rPr>
        <w:t>i</w:t>
      </w:r>
      <w:r w:rsidRPr="00012374">
        <w:rPr>
          <w:lang w:eastAsia="en-GB"/>
        </w:rPr>
        <w:t>nkomsten daaruit.</w:t>
      </w:r>
      <w:r w:rsidR="00012374">
        <w:rPr>
          <w:lang w:eastAsia="en-GB"/>
        </w:rPr>
        <w:t xml:space="preserve"> </w:t>
      </w:r>
      <w:r w:rsidRPr="00012374">
        <w:rPr>
          <w:lang w:eastAsia="en-GB"/>
        </w:rPr>
        <w:t xml:space="preserve">Het bestuur van de Stichting wordt eenmaal per kwartaal op de hoogte gebracht van de performance van de beleggingsportefeuille via een kwartaalverslag. Deze rapportage bevat naast een </w:t>
      </w:r>
      <w:r w:rsidRPr="00012374">
        <w:rPr>
          <w:lang w:eastAsia="en-GB"/>
        </w:rPr>
        <w:br/>
      </w:r>
      <w:r w:rsidR="00784C8D">
        <w:rPr>
          <w:lang w:eastAsia="en-GB"/>
        </w:rPr>
        <w:br/>
      </w:r>
      <w:r w:rsidR="00784C8D">
        <w:rPr>
          <w:lang w:eastAsia="en-GB"/>
        </w:rPr>
        <w:br/>
      </w:r>
      <w:r w:rsidR="00784C8D">
        <w:rPr>
          <w:lang w:eastAsia="en-GB"/>
        </w:rPr>
        <w:br/>
      </w:r>
      <w:r w:rsidRPr="00012374">
        <w:rPr>
          <w:lang w:eastAsia="en-GB"/>
        </w:rPr>
        <w:t>vermogensvergelijking, een portefeuilleoverzicht en een transactieoverzicht. Minimaal eenmaal per</w:t>
      </w:r>
      <w:r w:rsidR="00012374" w:rsidRPr="00012374">
        <w:rPr>
          <w:lang w:eastAsia="en-GB"/>
        </w:rPr>
        <w:t xml:space="preserve"> </w:t>
      </w:r>
      <w:r w:rsidRPr="00012374">
        <w:rPr>
          <w:lang w:eastAsia="en-GB"/>
        </w:rPr>
        <w:t xml:space="preserve">jaar zal de vermogensbeheerder in een persoonlijke toelichting </w:t>
      </w:r>
      <w:r w:rsidR="00874321">
        <w:rPr>
          <w:lang w:eastAsia="en-GB"/>
        </w:rPr>
        <w:t>aan</w:t>
      </w:r>
      <w:r w:rsidR="00874321" w:rsidRPr="00012374">
        <w:rPr>
          <w:lang w:eastAsia="en-GB"/>
        </w:rPr>
        <w:t xml:space="preserve"> </w:t>
      </w:r>
      <w:r w:rsidRPr="00012374">
        <w:rPr>
          <w:lang w:eastAsia="en-GB"/>
        </w:rPr>
        <w:t>het bestuur uitgebreid de resultaten en het beleid bespreken.</w:t>
      </w:r>
    </w:p>
    <w:p w14:paraId="0EBD2342" w14:textId="77777777" w:rsidR="00D61B8F" w:rsidRDefault="00D61B8F" w:rsidP="00012374">
      <w:pPr>
        <w:pStyle w:val="Geenafstand"/>
        <w:rPr>
          <w:lang w:eastAsia="en-GB"/>
        </w:rPr>
      </w:pPr>
    </w:p>
    <w:p w14:paraId="08FE6589" w14:textId="2703F13C" w:rsidR="001471FB" w:rsidRPr="00012374" w:rsidRDefault="001471FB" w:rsidP="00012374">
      <w:pPr>
        <w:pStyle w:val="Geenafstand"/>
        <w:rPr>
          <w:lang w:eastAsia="en-GB"/>
        </w:rPr>
      </w:pPr>
      <w:r w:rsidRPr="00012374">
        <w:rPr>
          <w:lang w:eastAsia="en-GB"/>
        </w:rPr>
        <w:t>De vermogensbeheerder dient de door hem behaalde rendementen te presenteren conform de</w:t>
      </w:r>
      <w:r w:rsidR="00012374">
        <w:rPr>
          <w:lang w:eastAsia="en-GB"/>
        </w:rPr>
        <w:t xml:space="preserve"> </w:t>
      </w:r>
      <w:r w:rsidRPr="00012374">
        <w:rPr>
          <w:lang w:eastAsia="en-GB"/>
        </w:rPr>
        <w:t xml:space="preserve">berekeningswijze zoals deze is voorgeschreven door de </w:t>
      </w:r>
      <w:r w:rsidR="00012374" w:rsidRPr="00012374">
        <w:rPr>
          <w:lang w:eastAsia="en-GB"/>
        </w:rPr>
        <w:t>GIPS-regelgeving</w:t>
      </w:r>
      <w:r w:rsidRPr="00012374">
        <w:rPr>
          <w:lang w:eastAsia="en-GB"/>
        </w:rPr>
        <w:t xml:space="preserve">. </w:t>
      </w:r>
    </w:p>
    <w:p w14:paraId="2289E1FB" w14:textId="77777777" w:rsidR="001471FB" w:rsidRPr="00012374" w:rsidRDefault="001471FB" w:rsidP="00012374">
      <w:pPr>
        <w:pStyle w:val="Geenafstand"/>
        <w:rPr>
          <w:lang w:eastAsia="en-GB"/>
        </w:rPr>
      </w:pPr>
    </w:p>
    <w:p w14:paraId="1EAF3047" w14:textId="77777777" w:rsidR="001471FB" w:rsidRPr="00012374" w:rsidRDefault="001471FB" w:rsidP="00012374">
      <w:pPr>
        <w:spacing w:before="66" w:line="207" w:lineRule="exact"/>
        <w:rPr>
          <w:rFonts w:ascii="Calibri" w:hAnsi="Calibri"/>
          <w:sz w:val="22"/>
          <w:lang w:eastAsia="en-GB"/>
        </w:rPr>
      </w:pPr>
      <w:r w:rsidRPr="00012374">
        <w:rPr>
          <w:rFonts w:ascii="Calibri" w:hAnsi="Calibri"/>
          <w:sz w:val="22"/>
          <w:lang w:eastAsia="en-GB"/>
        </w:rPr>
        <w:t xml:space="preserve">De </w:t>
      </w:r>
      <w:r w:rsidR="00874321">
        <w:rPr>
          <w:rFonts w:ascii="Calibri" w:hAnsi="Calibri"/>
          <w:sz w:val="22"/>
          <w:lang w:eastAsia="en-GB"/>
        </w:rPr>
        <w:t>B</w:t>
      </w:r>
      <w:r w:rsidRPr="00012374">
        <w:rPr>
          <w:rFonts w:ascii="Calibri" w:hAnsi="Calibri"/>
          <w:sz w:val="22"/>
          <w:lang w:eastAsia="en-GB"/>
        </w:rPr>
        <w:t>eheerder mag voor zijn werkzaamheden een vergoeding aan de Stichting in rekening brengen.</w:t>
      </w:r>
    </w:p>
    <w:p w14:paraId="41DBE251" w14:textId="77777777" w:rsidR="001471FB" w:rsidRDefault="001471FB" w:rsidP="00D83C2E">
      <w:pPr>
        <w:pStyle w:val="Geenafstand"/>
        <w:rPr>
          <w:lang w:eastAsia="en-GB"/>
        </w:rPr>
      </w:pPr>
    </w:p>
    <w:p w14:paraId="2B86250E" w14:textId="29C33962" w:rsidR="00787746" w:rsidRPr="007B7F5B" w:rsidRDefault="00D20843" w:rsidP="00D83C2E">
      <w:pPr>
        <w:pStyle w:val="Geenafstand"/>
        <w:rPr>
          <w:b/>
        </w:rPr>
      </w:pPr>
      <w:r>
        <w:rPr>
          <w:b/>
        </w:rPr>
        <w:lastRenderedPageBreak/>
        <w:t>3</w:t>
      </w:r>
      <w:r w:rsidR="001471FB">
        <w:rPr>
          <w:b/>
        </w:rPr>
        <w:t>.</w:t>
      </w:r>
      <w:r>
        <w:rPr>
          <w:b/>
        </w:rPr>
        <w:t>8</w:t>
      </w:r>
      <w:r w:rsidR="001471FB">
        <w:rPr>
          <w:b/>
        </w:rPr>
        <w:t xml:space="preserve"> </w:t>
      </w:r>
      <w:r w:rsidR="00F236BB">
        <w:rPr>
          <w:b/>
        </w:rPr>
        <w:t>Risico en rendement</w:t>
      </w:r>
    </w:p>
    <w:p w14:paraId="54484594" w14:textId="77777777" w:rsidR="00787746" w:rsidRDefault="00787746" w:rsidP="00D83C2E">
      <w:pPr>
        <w:pStyle w:val="Geenafstand"/>
      </w:pPr>
    </w:p>
    <w:p w14:paraId="73A22125" w14:textId="77777777" w:rsidR="00F236BB" w:rsidRPr="00301863" w:rsidRDefault="000401C0" w:rsidP="000401C0">
      <w:pPr>
        <w:pStyle w:val="Geenafstand"/>
        <w:rPr>
          <w:lang w:eastAsia="en-GB"/>
        </w:rPr>
      </w:pPr>
      <w:r w:rsidRPr="000401C0">
        <w:rPr>
          <w:lang w:eastAsia="en-GB"/>
        </w:rPr>
        <w:t xml:space="preserve">Op basis van de in dit statuut opgenomen voorwaarden maakt de externe vermogensbeheerder het doelrisicoprofiel, gebaseerd op het beleggingsdoel, de horizon en de risicobereidheid. </w:t>
      </w:r>
      <w:r w:rsidR="00874321">
        <w:rPr>
          <w:lang w:eastAsia="en-GB"/>
        </w:rPr>
        <w:t xml:space="preserve">De onder 2.4 genoemde </w:t>
      </w:r>
      <w:r w:rsidRPr="000401C0">
        <w:rPr>
          <w:lang w:eastAsia="en-GB"/>
        </w:rPr>
        <w:t xml:space="preserve">beperkingen voor de portefeuille moeten bij de bepaling van het doelrisicoprofiel eveneens in acht genomen worden. Het doelrisicoprofiel wordt als uitgangspunt bij het vermogensbeheer van de portefeuille genomen. </w:t>
      </w:r>
      <w:r w:rsidR="00F236BB" w:rsidRPr="000401C0">
        <w:rPr>
          <w:lang w:eastAsia="en-GB"/>
        </w:rPr>
        <w:t xml:space="preserve">Het </w:t>
      </w:r>
      <w:r w:rsidRPr="000401C0">
        <w:rPr>
          <w:lang w:eastAsia="en-GB"/>
        </w:rPr>
        <w:t xml:space="preserve">door de vermogensbeheerder </w:t>
      </w:r>
      <w:r w:rsidR="00F236BB" w:rsidRPr="000401C0">
        <w:rPr>
          <w:lang w:eastAsia="en-GB"/>
        </w:rPr>
        <w:t>geschatte neerwaartse risico</w:t>
      </w:r>
      <w:r w:rsidRPr="000401C0">
        <w:rPr>
          <w:lang w:eastAsia="en-GB"/>
        </w:rPr>
        <w:t xml:space="preserve"> horende bij h</w:t>
      </w:r>
      <w:r w:rsidR="00F236BB" w:rsidRPr="000401C0">
        <w:rPr>
          <w:lang w:eastAsia="en-GB"/>
        </w:rPr>
        <w:t xml:space="preserve">et doelrisicoprofiel </w:t>
      </w:r>
      <w:r w:rsidRPr="000401C0">
        <w:rPr>
          <w:lang w:eastAsia="en-GB"/>
        </w:rPr>
        <w:t>worden in de uitgangspunten voor het vermogensbeheer vastgelegd.</w:t>
      </w:r>
    </w:p>
    <w:p w14:paraId="2DDE753D" w14:textId="77777777" w:rsidR="00F236BB" w:rsidRPr="007B7F5B" w:rsidRDefault="00F236BB" w:rsidP="000401C0">
      <w:pPr>
        <w:pStyle w:val="Geenafstand"/>
        <w:rPr>
          <w:lang w:eastAsia="en-GB"/>
        </w:rPr>
      </w:pPr>
    </w:p>
    <w:p w14:paraId="4A44751C" w14:textId="5AE8DDE4" w:rsidR="00737010" w:rsidRPr="00755BE5" w:rsidRDefault="00755BE5" w:rsidP="000401C0">
      <w:pPr>
        <w:pStyle w:val="Geenafstand"/>
        <w:rPr>
          <w:color w:val="FF0000"/>
          <w:lang w:eastAsia="en-GB"/>
        </w:rPr>
      </w:pPr>
      <w:r>
        <w:rPr>
          <w:lang w:eastAsia="en-GB"/>
        </w:rPr>
        <w:t>Met de vermogensbeheerder worden</w:t>
      </w:r>
      <w:r w:rsidR="00787746" w:rsidRPr="007B7F5B">
        <w:rPr>
          <w:lang w:eastAsia="en-GB"/>
        </w:rPr>
        <w:t xml:space="preserve"> </w:t>
      </w:r>
      <w:r w:rsidR="000401C0">
        <w:rPr>
          <w:lang w:eastAsia="en-GB"/>
        </w:rPr>
        <w:t xml:space="preserve">passende </w:t>
      </w:r>
      <w:r w:rsidR="00787746" w:rsidRPr="007B7F5B">
        <w:rPr>
          <w:lang w:eastAsia="en-GB"/>
        </w:rPr>
        <w:t>benchmark</w:t>
      </w:r>
      <w:r>
        <w:rPr>
          <w:lang w:eastAsia="en-GB"/>
        </w:rPr>
        <w:t>s</w:t>
      </w:r>
      <w:r w:rsidR="00787746" w:rsidRPr="007B7F5B">
        <w:rPr>
          <w:lang w:eastAsia="en-GB"/>
        </w:rPr>
        <w:t xml:space="preserve"> </w:t>
      </w:r>
      <w:r w:rsidR="00F236BB">
        <w:rPr>
          <w:lang w:eastAsia="en-GB"/>
        </w:rPr>
        <w:t xml:space="preserve">voor het rendement </w:t>
      </w:r>
      <w:r w:rsidR="000401C0">
        <w:rPr>
          <w:lang w:eastAsia="en-GB"/>
        </w:rPr>
        <w:t>vastgesteld</w:t>
      </w:r>
      <w:r w:rsidR="0009654D" w:rsidRPr="0009654D">
        <w:t xml:space="preserve"> </w:t>
      </w:r>
      <w:r w:rsidR="0009654D">
        <w:t xml:space="preserve">De ontwikkeling van de portefeuille zal tegen de volgende benchmarks worden afgezet: aandelen – MSCI World Net Return, obligaties – Barclays Euro </w:t>
      </w:r>
      <w:proofErr w:type="spellStart"/>
      <w:r w:rsidR="0009654D">
        <w:t>Aggregate</w:t>
      </w:r>
      <w:proofErr w:type="spellEnd"/>
      <w:r w:rsidR="0009654D">
        <w:t xml:space="preserve"> 500 TR</w:t>
      </w:r>
      <w:r w:rsidR="00D80223">
        <w:t>.</w:t>
      </w:r>
    </w:p>
    <w:p w14:paraId="08CE7D08" w14:textId="77777777" w:rsidR="004A1B80" w:rsidRDefault="004A1B80" w:rsidP="00D84BDE">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sz w:val="22"/>
          <w:szCs w:val="22"/>
        </w:rPr>
      </w:pPr>
    </w:p>
    <w:p w14:paraId="749F4078" w14:textId="77777777" w:rsidR="00F10B7C" w:rsidRPr="00247746" w:rsidRDefault="00F10B7C" w:rsidP="00247746">
      <w:pPr>
        <w:spacing w:before="160" w:line="207" w:lineRule="exact"/>
        <w:rPr>
          <w:rFonts w:ascii="Calibri" w:hAnsi="Calibri"/>
          <w:b/>
          <w:sz w:val="22"/>
        </w:rPr>
      </w:pPr>
      <w:r w:rsidRPr="00247746">
        <w:rPr>
          <w:rFonts w:ascii="Calibri" w:hAnsi="Calibri"/>
          <w:b/>
          <w:sz w:val="22"/>
        </w:rPr>
        <w:t>Definities</w:t>
      </w:r>
    </w:p>
    <w:p w14:paraId="1C792E03" w14:textId="77777777" w:rsidR="00247746" w:rsidRPr="00247746" w:rsidRDefault="00247746" w:rsidP="00247746">
      <w:pPr>
        <w:spacing w:before="160" w:line="207" w:lineRule="exact"/>
        <w:rPr>
          <w:rFonts w:ascii="Calibri" w:hAnsi="Calibri"/>
          <w:b/>
          <w:sz w:val="22"/>
        </w:rPr>
      </w:pPr>
    </w:p>
    <w:p w14:paraId="6FE6EAA6" w14:textId="77777777" w:rsidR="00247746" w:rsidRPr="00247746" w:rsidRDefault="00247746" w:rsidP="000F0BA2">
      <w:pPr>
        <w:pStyle w:val="Hoofdtekst"/>
        <w:tabs>
          <w:tab w:val="left" w:pos="709"/>
          <w:tab w:val="left" w:pos="1417"/>
          <w:tab w:val="left" w:pos="2126"/>
          <w:tab w:val="left" w:pos="2835"/>
          <w:tab w:val="left" w:pos="3543"/>
          <w:tab w:val="left" w:pos="4252"/>
          <w:tab w:val="left" w:pos="4961"/>
          <w:tab w:val="left" w:pos="5669"/>
          <w:tab w:val="left" w:pos="7087"/>
          <w:tab w:val="left" w:pos="7795"/>
          <w:tab w:val="left" w:pos="8504"/>
        </w:tabs>
        <w:rPr>
          <w:rFonts w:ascii="Calibri" w:hAnsi="Calibri"/>
          <w:sz w:val="22"/>
          <w:szCs w:val="22"/>
        </w:rPr>
      </w:pPr>
      <w:r w:rsidRPr="0013765C">
        <w:rPr>
          <w:rFonts w:ascii="Calibri" w:hAnsi="Calibri"/>
          <w:sz w:val="22"/>
          <w:szCs w:val="22"/>
          <w:u w:val="single"/>
        </w:rPr>
        <w:t>Beleggen</w:t>
      </w:r>
      <w:r w:rsidRPr="00247746">
        <w:rPr>
          <w:rFonts w:ascii="Calibri" w:hAnsi="Calibri"/>
          <w:sz w:val="22"/>
          <w:szCs w:val="22"/>
        </w:rPr>
        <w:t>: Beleggen is het beheren van of omzetten van liquide middelen in geldvorderingen (deposito's, obligaties, onderhandse leningen etc.) en of zakelijke waarden (aandelen, onroerend goed etc.).</w:t>
      </w:r>
    </w:p>
    <w:p w14:paraId="08C4E00A" w14:textId="77777777" w:rsidR="00012374" w:rsidRPr="00247746" w:rsidRDefault="00012374" w:rsidP="000F0BA2">
      <w:pPr>
        <w:pStyle w:val="Hoofdtekst"/>
        <w:tabs>
          <w:tab w:val="left" w:pos="709"/>
          <w:tab w:val="left" w:pos="1417"/>
          <w:tab w:val="left" w:pos="2126"/>
          <w:tab w:val="left" w:pos="2835"/>
          <w:tab w:val="left" w:pos="3543"/>
          <w:tab w:val="left" w:pos="4252"/>
          <w:tab w:val="left" w:pos="4961"/>
          <w:tab w:val="left" w:pos="5669"/>
          <w:tab w:val="left" w:pos="7087"/>
          <w:tab w:val="left" w:pos="7795"/>
          <w:tab w:val="left" w:pos="8504"/>
        </w:tabs>
        <w:rPr>
          <w:rFonts w:ascii="Calibri" w:hAnsi="Calibri"/>
          <w:sz w:val="22"/>
          <w:szCs w:val="22"/>
        </w:rPr>
      </w:pPr>
    </w:p>
    <w:p w14:paraId="03D38B52" w14:textId="77777777" w:rsidR="00247746" w:rsidRDefault="00247746" w:rsidP="000F0BA2">
      <w:pPr>
        <w:pStyle w:val="Hoofdtekst"/>
        <w:tabs>
          <w:tab w:val="left" w:pos="709"/>
          <w:tab w:val="left" w:pos="1417"/>
          <w:tab w:val="left" w:pos="2126"/>
          <w:tab w:val="left" w:pos="2835"/>
          <w:tab w:val="left" w:pos="3543"/>
          <w:tab w:val="left" w:pos="4252"/>
          <w:tab w:val="left" w:pos="4961"/>
          <w:tab w:val="left" w:pos="5669"/>
          <w:tab w:val="left" w:pos="7087"/>
          <w:tab w:val="left" w:pos="7795"/>
          <w:tab w:val="left" w:pos="8504"/>
        </w:tabs>
        <w:rPr>
          <w:rFonts w:ascii="Calibri" w:hAnsi="Calibri"/>
          <w:sz w:val="22"/>
          <w:szCs w:val="22"/>
        </w:rPr>
      </w:pPr>
      <w:r w:rsidRPr="0013765C">
        <w:rPr>
          <w:rFonts w:ascii="Calibri" w:hAnsi="Calibri"/>
          <w:sz w:val="22"/>
          <w:szCs w:val="22"/>
          <w:u w:val="single"/>
        </w:rPr>
        <w:t>Strategische beleggingsmix</w:t>
      </w:r>
      <w:r w:rsidRPr="00247746">
        <w:rPr>
          <w:rFonts w:ascii="Calibri" w:hAnsi="Calibri"/>
          <w:sz w:val="22"/>
          <w:szCs w:val="22"/>
        </w:rPr>
        <w:t>: De strategische beleggingsmix is afgeleid van de beleggingsdoelstellingen en geeft de lange termijn verdeling (beleggingshorizon 5 tot 10 jaar) weer van de beleggingen over de diverse belegging</w:t>
      </w:r>
      <w:r>
        <w:rPr>
          <w:rFonts w:ascii="Calibri" w:hAnsi="Calibri"/>
          <w:sz w:val="22"/>
          <w:szCs w:val="22"/>
        </w:rPr>
        <w:t>s</w:t>
      </w:r>
      <w:r w:rsidRPr="00247746">
        <w:rPr>
          <w:rFonts w:ascii="Calibri" w:hAnsi="Calibri"/>
          <w:sz w:val="22"/>
          <w:szCs w:val="22"/>
        </w:rPr>
        <w:t>categorieën.</w:t>
      </w:r>
    </w:p>
    <w:p w14:paraId="6594784B" w14:textId="77777777" w:rsidR="00247746" w:rsidRDefault="00247746" w:rsidP="000F0BA2">
      <w:pPr>
        <w:pStyle w:val="Hoofdtekst"/>
        <w:tabs>
          <w:tab w:val="left" w:pos="709"/>
          <w:tab w:val="left" w:pos="1417"/>
          <w:tab w:val="left" w:pos="2126"/>
          <w:tab w:val="left" w:pos="2835"/>
          <w:tab w:val="left" w:pos="3543"/>
          <w:tab w:val="left" w:pos="4252"/>
          <w:tab w:val="left" w:pos="4961"/>
          <w:tab w:val="left" w:pos="5669"/>
          <w:tab w:val="left" w:pos="7087"/>
          <w:tab w:val="left" w:pos="7795"/>
          <w:tab w:val="left" w:pos="8504"/>
        </w:tabs>
        <w:rPr>
          <w:rFonts w:ascii="Calibri" w:hAnsi="Calibri"/>
          <w:sz w:val="22"/>
          <w:szCs w:val="22"/>
        </w:rPr>
      </w:pPr>
    </w:p>
    <w:p w14:paraId="0BD7B53C" w14:textId="77777777" w:rsidR="00247746" w:rsidRPr="00247746" w:rsidRDefault="00247746" w:rsidP="000F0BA2">
      <w:pPr>
        <w:spacing w:before="6"/>
        <w:ind w:left="24" w:right="283" w:firstLine="9"/>
        <w:rPr>
          <w:rFonts w:ascii="Calibri" w:hAnsi="Calibri"/>
          <w:color w:val="000000"/>
          <w:sz w:val="22"/>
          <w:lang w:eastAsia="nl-NL"/>
        </w:rPr>
      </w:pPr>
      <w:r w:rsidRPr="0013765C">
        <w:rPr>
          <w:rFonts w:ascii="Calibri" w:hAnsi="Calibri"/>
          <w:color w:val="000000"/>
          <w:sz w:val="22"/>
          <w:u w:val="single"/>
          <w:lang w:eastAsia="nl-NL"/>
        </w:rPr>
        <w:t>Tactische beleggingsmix</w:t>
      </w:r>
      <w:r w:rsidRPr="00247746">
        <w:rPr>
          <w:rFonts w:ascii="Calibri" w:hAnsi="Calibri"/>
          <w:color w:val="000000"/>
          <w:sz w:val="22"/>
          <w:lang w:eastAsia="nl-NL"/>
        </w:rPr>
        <w:t xml:space="preserve">: De tactische beleggingsmix is de korte termijn (3 tot 12 </w:t>
      </w:r>
      <w:r>
        <w:rPr>
          <w:rFonts w:ascii="Calibri" w:hAnsi="Calibri"/>
          <w:color w:val="000000"/>
          <w:sz w:val="22"/>
          <w:lang w:eastAsia="nl-NL"/>
        </w:rPr>
        <w:t>m</w:t>
      </w:r>
      <w:r w:rsidRPr="00247746">
        <w:rPr>
          <w:rFonts w:ascii="Calibri" w:hAnsi="Calibri"/>
          <w:color w:val="000000"/>
          <w:sz w:val="22"/>
          <w:lang w:eastAsia="nl-NL"/>
        </w:rPr>
        <w:t>aanden) verdeling van het vermogen over de toegestane</w:t>
      </w:r>
      <w:r>
        <w:rPr>
          <w:rFonts w:ascii="Calibri" w:hAnsi="Calibri"/>
          <w:color w:val="000000"/>
          <w:sz w:val="22"/>
          <w:lang w:eastAsia="nl-NL"/>
        </w:rPr>
        <w:t xml:space="preserve"> </w:t>
      </w:r>
      <w:r w:rsidRPr="00247746">
        <w:rPr>
          <w:rFonts w:ascii="Calibri" w:hAnsi="Calibri"/>
          <w:color w:val="000000"/>
          <w:sz w:val="22"/>
          <w:lang w:eastAsia="nl-NL"/>
        </w:rPr>
        <w:t>belegging</w:t>
      </w:r>
      <w:r>
        <w:rPr>
          <w:rFonts w:ascii="Calibri" w:hAnsi="Calibri"/>
          <w:color w:val="000000"/>
          <w:sz w:val="22"/>
          <w:lang w:eastAsia="nl-NL"/>
        </w:rPr>
        <w:t>s</w:t>
      </w:r>
      <w:r w:rsidRPr="00247746">
        <w:rPr>
          <w:rFonts w:ascii="Calibri" w:hAnsi="Calibri"/>
          <w:color w:val="000000"/>
          <w:sz w:val="22"/>
          <w:lang w:eastAsia="nl-NL"/>
        </w:rPr>
        <w:t xml:space="preserve">categorieën. De </w:t>
      </w:r>
      <w:r>
        <w:rPr>
          <w:rFonts w:ascii="Calibri" w:hAnsi="Calibri"/>
          <w:color w:val="000000"/>
          <w:sz w:val="22"/>
          <w:lang w:eastAsia="nl-NL"/>
        </w:rPr>
        <w:t>t</w:t>
      </w:r>
      <w:r w:rsidRPr="00247746">
        <w:rPr>
          <w:rFonts w:ascii="Calibri" w:hAnsi="Calibri"/>
          <w:color w:val="000000"/>
          <w:sz w:val="22"/>
          <w:lang w:eastAsia="nl-NL"/>
        </w:rPr>
        <w:t>actische</w:t>
      </w:r>
      <w:r>
        <w:rPr>
          <w:rFonts w:ascii="Calibri" w:hAnsi="Calibri"/>
          <w:color w:val="000000"/>
          <w:sz w:val="22"/>
          <w:lang w:eastAsia="nl-NL"/>
        </w:rPr>
        <w:t xml:space="preserve"> </w:t>
      </w:r>
      <w:r w:rsidRPr="00247746">
        <w:rPr>
          <w:rFonts w:ascii="Calibri" w:hAnsi="Calibri"/>
          <w:color w:val="000000"/>
          <w:sz w:val="22"/>
          <w:lang w:eastAsia="nl-NL"/>
        </w:rPr>
        <w:t>beleggingsmix geeft de maximaal toegestane afwijkingen aan van de strategische beleggingsmix en</w:t>
      </w:r>
      <w:r>
        <w:rPr>
          <w:rFonts w:ascii="Calibri" w:hAnsi="Calibri"/>
          <w:color w:val="000000"/>
          <w:sz w:val="22"/>
          <w:lang w:eastAsia="nl-NL"/>
        </w:rPr>
        <w:t xml:space="preserve"> </w:t>
      </w:r>
      <w:r w:rsidRPr="00247746">
        <w:rPr>
          <w:rFonts w:ascii="Calibri" w:hAnsi="Calibri"/>
          <w:color w:val="000000"/>
          <w:sz w:val="22"/>
          <w:lang w:eastAsia="nl-NL"/>
        </w:rPr>
        <w:t xml:space="preserve">wordt bepaald op basis van de rendementsverwachtingen van de verschillende </w:t>
      </w:r>
      <w:r>
        <w:rPr>
          <w:rFonts w:ascii="Calibri" w:hAnsi="Calibri"/>
          <w:color w:val="000000"/>
          <w:sz w:val="22"/>
          <w:lang w:eastAsia="nl-NL"/>
        </w:rPr>
        <w:t>b</w:t>
      </w:r>
      <w:r w:rsidRPr="00247746">
        <w:rPr>
          <w:rFonts w:ascii="Calibri" w:hAnsi="Calibri"/>
          <w:color w:val="000000"/>
          <w:sz w:val="22"/>
          <w:lang w:eastAsia="nl-NL"/>
        </w:rPr>
        <w:t>elegging</w:t>
      </w:r>
      <w:r>
        <w:rPr>
          <w:rFonts w:ascii="Calibri" w:hAnsi="Calibri"/>
          <w:color w:val="000000"/>
          <w:sz w:val="22"/>
          <w:lang w:eastAsia="nl-NL"/>
        </w:rPr>
        <w:t>s-</w:t>
      </w:r>
      <w:r w:rsidRPr="00247746">
        <w:rPr>
          <w:rFonts w:ascii="Calibri" w:hAnsi="Calibri"/>
          <w:color w:val="000000"/>
          <w:sz w:val="22"/>
          <w:lang w:eastAsia="nl-NL"/>
        </w:rPr>
        <w:t xml:space="preserve"> categorieën op korte termijn.</w:t>
      </w:r>
    </w:p>
    <w:p w14:paraId="6D50660F" w14:textId="77777777" w:rsidR="00247746" w:rsidRPr="00247746" w:rsidRDefault="00247746" w:rsidP="000F0BA2">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sz w:val="22"/>
          <w:szCs w:val="22"/>
        </w:rPr>
      </w:pPr>
    </w:p>
    <w:p w14:paraId="40682E2F" w14:textId="77777777" w:rsidR="0013765C" w:rsidRPr="0013765C" w:rsidRDefault="0013765C" w:rsidP="000F0BA2">
      <w:pPr>
        <w:spacing w:before="6"/>
        <w:ind w:left="24" w:right="283" w:firstLine="9"/>
        <w:rPr>
          <w:rFonts w:ascii="Calibri" w:hAnsi="Calibri"/>
          <w:color w:val="000000"/>
          <w:sz w:val="22"/>
          <w:lang w:eastAsia="nl-NL"/>
        </w:rPr>
      </w:pPr>
      <w:r w:rsidRPr="0013765C">
        <w:rPr>
          <w:rFonts w:ascii="Calibri" w:hAnsi="Calibri"/>
          <w:color w:val="000000"/>
          <w:sz w:val="22"/>
          <w:u w:val="single"/>
          <w:lang w:eastAsia="nl-NL"/>
        </w:rPr>
        <w:t>Vermogen</w:t>
      </w:r>
      <w:r w:rsidRPr="0013765C">
        <w:rPr>
          <w:rFonts w:ascii="Calibri" w:hAnsi="Calibri"/>
          <w:color w:val="000000"/>
          <w:sz w:val="22"/>
          <w:lang w:eastAsia="nl-NL"/>
        </w:rPr>
        <w:t>: Alle gelden en andere activa welke door de Stichting niet gebruikt worden voor de bedrijfsvoering en die beschikbaar zijn om te</w:t>
      </w:r>
      <w:r>
        <w:rPr>
          <w:rFonts w:ascii="Calibri" w:hAnsi="Calibri"/>
          <w:color w:val="000000"/>
          <w:sz w:val="22"/>
          <w:lang w:eastAsia="nl-NL"/>
        </w:rPr>
        <w:t xml:space="preserve"> </w:t>
      </w:r>
      <w:r w:rsidRPr="0013765C">
        <w:rPr>
          <w:rFonts w:ascii="Calibri" w:hAnsi="Calibri"/>
          <w:color w:val="000000"/>
          <w:sz w:val="22"/>
          <w:lang w:eastAsia="nl-NL"/>
        </w:rPr>
        <w:t>beleggen.</w:t>
      </w:r>
    </w:p>
    <w:p w14:paraId="77C087BB" w14:textId="77777777" w:rsidR="00247746" w:rsidRPr="0013765C" w:rsidRDefault="00247746" w:rsidP="000F0BA2">
      <w:pPr>
        <w:spacing w:before="6"/>
        <w:ind w:left="24" w:right="283" w:firstLine="9"/>
        <w:rPr>
          <w:rFonts w:ascii="Calibri" w:hAnsi="Calibri"/>
          <w:color w:val="000000"/>
          <w:sz w:val="22"/>
          <w:lang w:eastAsia="nl-NL"/>
        </w:rPr>
      </w:pPr>
    </w:p>
    <w:p w14:paraId="6D5DA9BD" w14:textId="77777777" w:rsidR="00006FA2" w:rsidRDefault="00006FA2" w:rsidP="000F0BA2">
      <w:pPr>
        <w:spacing w:before="6"/>
        <w:ind w:left="24" w:right="283" w:firstLine="9"/>
        <w:rPr>
          <w:rFonts w:ascii="Calibri" w:hAnsi="Calibri"/>
          <w:color w:val="000000"/>
          <w:sz w:val="22"/>
          <w:u w:val="single"/>
          <w:lang w:eastAsia="nl-NL"/>
        </w:rPr>
      </w:pPr>
    </w:p>
    <w:p w14:paraId="3023F5CA" w14:textId="30E57246" w:rsidR="0013765C" w:rsidRPr="0013765C" w:rsidRDefault="0013765C" w:rsidP="000F0BA2">
      <w:pPr>
        <w:spacing w:before="6"/>
        <w:ind w:left="24" w:right="283" w:firstLine="9"/>
        <w:rPr>
          <w:rFonts w:ascii="Calibri" w:hAnsi="Calibri"/>
          <w:color w:val="000000"/>
          <w:sz w:val="22"/>
          <w:lang w:eastAsia="nl-NL"/>
        </w:rPr>
      </w:pPr>
      <w:r w:rsidRPr="0013765C">
        <w:rPr>
          <w:rFonts w:ascii="Calibri" w:hAnsi="Calibri"/>
          <w:color w:val="000000"/>
          <w:sz w:val="22"/>
          <w:u w:val="single"/>
          <w:lang w:eastAsia="nl-NL"/>
        </w:rPr>
        <w:t>Effecten</w:t>
      </w:r>
      <w:r w:rsidRPr="0013765C">
        <w:rPr>
          <w:rFonts w:ascii="Calibri" w:hAnsi="Calibri"/>
          <w:color w:val="000000"/>
          <w:sz w:val="22"/>
          <w:lang w:eastAsia="nl-NL"/>
        </w:rPr>
        <w:t xml:space="preserve">: (Certificaten van) aandelen, obligaties, opties, </w:t>
      </w:r>
      <w:proofErr w:type="spellStart"/>
      <w:r w:rsidRPr="0013765C">
        <w:rPr>
          <w:rFonts w:ascii="Calibri" w:hAnsi="Calibri"/>
          <w:color w:val="000000"/>
          <w:sz w:val="22"/>
          <w:lang w:eastAsia="nl-NL"/>
        </w:rPr>
        <w:t>futures</w:t>
      </w:r>
      <w:proofErr w:type="spellEnd"/>
      <w:r w:rsidRPr="0013765C">
        <w:rPr>
          <w:rFonts w:ascii="Calibri" w:hAnsi="Calibri"/>
          <w:color w:val="000000"/>
          <w:sz w:val="22"/>
          <w:lang w:eastAsia="nl-NL"/>
        </w:rPr>
        <w:t>, warrants en</w:t>
      </w:r>
      <w:r>
        <w:rPr>
          <w:rFonts w:ascii="Calibri" w:hAnsi="Calibri"/>
          <w:color w:val="000000"/>
          <w:sz w:val="22"/>
          <w:lang w:eastAsia="nl-NL"/>
        </w:rPr>
        <w:t xml:space="preserve"> </w:t>
      </w:r>
      <w:r w:rsidRPr="0013765C">
        <w:rPr>
          <w:rFonts w:ascii="Calibri" w:hAnsi="Calibri"/>
          <w:color w:val="000000"/>
          <w:sz w:val="22"/>
          <w:lang w:eastAsia="nl-NL"/>
        </w:rPr>
        <w:t>soortgelijke waardepapieren.</w:t>
      </w:r>
    </w:p>
    <w:p w14:paraId="6E990CBD" w14:textId="77777777" w:rsidR="0013765C" w:rsidRDefault="0013765C" w:rsidP="0013765C">
      <w:pPr>
        <w:spacing w:before="33" w:line="207" w:lineRule="exact"/>
        <w:ind w:left="10"/>
        <w:rPr>
          <w:color w:val="000000"/>
          <w:w w:val="121"/>
          <w:sz w:val="18"/>
          <w:szCs w:val="18"/>
          <w:u w:val="single"/>
        </w:rPr>
      </w:pPr>
    </w:p>
    <w:p w14:paraId="008A9E02" w14:textId="77777777" w:rsidR="0013765C" w:rsidRPr="0013765C" w:rsidRDefault="0013765C" w:rsidP="000F0BA2">
      <w:pPr>
        <w:spacing w:before="140"/>
        <w:ind w:right="870" w:firstLine="19"/>
        <w:rPr>
          <w:rFonts w:ascii="Calibri" w:hAnsi="Calibri"/>
          <w:color w:val="000000"/>
          <w:sz w:val="22"/>
          <w:lang w:eastAsia="nl-NL"/>
        </w:rPr>
      </w:pPr>
      <w:r w:rsidRPr="0013765C">
        <w:rPr>
          <w:rFonts w:ascii="Calibri" w:hAnsi="Calibri"/>
          <w:color w:val="000000"/>
          <w:sz w:val="22"/>
          <w:u w:val="single"/>
          <w:lang w:eastAsia="nl-NL"/>
        </w:rPr>
        <w:t>Vastrentende waarden</w:t>
      </w:r>
      <w:r w:rsidRPr="0013765C">
        <w:rPr>
          <w:rFonts w:ascii="Calibri" w:hAnsi="Calibri"/>
          <w:color w:val="000000"/>
          <w:sz w:val="22"/>
          <w:lang w:eastAsia="nl-NL"/>
        </w:rPr>
        <w:t xml:space="preserve">: Onder vastrentende waarden worden verstaan: goed ter beurze verhandelbare leningen met een looptijd (bij aankoop) langer dan een jaar uitgegeven door Euro overheden, gegarandeerd door Euro overheden dan wel uitgegeven door andere debiteuren met een rating van tenminste BBB (Standard and </w:t>
      </w:r>
      <w:proofErr w:type="spellStart"/>
      <w:r w:rsidRPr="0013765C">
        <w:rPr>
          <w:rFonts w:ascii="Calibri" w:hAnsi="Calibri"/>
          <w:color w:val="000000"/>
          <w:sz w:val="22"/>
          <w:lang w:eastAsia="nl-NL"/>
        </w:rPr>
        <w:t>Poor's</w:t>
      </w:r>
      <w:proofErr w:type="spellEnd"/>
      <w:r w:rsidRPr="0013765C">
        <w:rPr>
          <w:rFonts w:ascii="Calibri" w:hAnsi="Calibri"/>
          <w:color w:val="000000"/>
          <w:sz w:val="22"/>
          <w:lang w:eastAsia="nl-NL"/>
        </w:rPr>
        <w:t xml:space="preserve">). Tevens worden hieronder verstaan beleggingsfondsen of institutionele beleggingspools die </w:t>
      </w:r>
      <w:r w:rsidRPr="0013765C">
        <w:rPr>
          <w:rFonts w:ascii="Calibri" w:hAnsi="Calibri"/>
          <w:color w:val="000000"/>
          <w:sz w:val="22"/>
          <w:lang w:eastAsia="nl-NL"/>
        </w:rPr>
        <w:br/>
        <w:t>beleggen in vastrentende waarden. Vastrentende waarden beleggingen in andere valuta's dan Euro zijn niet toegestaan.</w:t>
      </w:r>
    </w:p>
    <w:p w14:paraId="60DC6334" w14:textId="77777777" w:rsidR="0013765C" w:rsidRDefault="0013765C" w:rsidP="0013765C">
      <w:pPr>
        <w:spacing w:before="50" w:line="207" w:lineRule="exact"/>
        <w:rPr>
          <w:color w:val="000000"/>
          <w:w w:val="121"/>
          <w:sz w:val="18"/>
          <w:szCs w:val="18"/>
          <w:u w:val="single"/>
        </w:rPr>
      </w:pPr>
    </w:p>
    <w:p w14:paraId="01D6AFBE" w14:textId="77777777" w:rsidR="0013765C" w:rsidRPr="0013765C" w:rsidRDefault="0013765C" w:rsidP="000F0BA2">
      <w:pPr>
        <w:spacing w:before="140"/>
        <w:ind w:right="870" w:firstLine="19"/>
        <w:rPr>
          <w:rFonts w:ascii="Calibri" w:hAnsi="Calibri"/>
          <w:color w:val="000000"/>
          <w:sz w:val="22"/>
          <w:lang w:eastAsia="nl-NL"/>
        </w:rPr>
      </w:pPr>
      <w:r w:rsidRPr="0013765C">
        <w:rPr>
          <w:rFonts w:ascii="Calibri" w:hAnsi="Calibri"/>
          <w:color w:val="000000"/>
          <w:sz w:val="22"/>
          <w:u w:val="single"/>
          <w:lang w:eastAsia="nl-NL"/>
        </w:rPr>
        <w:t>Aandelen</w:t>
      </w:r>
      <w:r w:rsidRPr="0013765C">
        <w:rPr>
          <w:rFonts w:ascii="Calibri" w:hAnsi="Calibri"/>
          <w:color w:val="000000"/>
          <w:sz w:val="22"/>
          <w:lang w:eastAsia="nl-NL"/>
        </w:rPr>
        <w:t xml:space="preserve">: Onder aandelen worden verstaan: verhandelbare aandelen in ondernemingen die zijn genoteerd aan de erkende beurzen. Hieronder worden ook verstaan </w:t>
      </w:r>
      <w:r>
        <w:rPr>
          <w:rFonts w:ascii="Calibri" w:hAnsi="Calibri"/>
          <w:color w:val="000000"/>
          <w:sz w:val="22"/>
          <w:lang w:eastAsia="nl-NL"/>
        </w:rPr>
        <w:t>b</w:t>
      </w:r>
      <w:r w:rsidRPr="0013765C">
        <w:rPr>
          <w:rFonts w:ascii="Calibri" w:hAnsi="Calibri"/>
          <w:color w:val="000000"/>
          <w:sz w:val="22"/>
          <w:lang w:eastAsia="nl-NL"/>
        </w:rPr>
        <w:t>eleggingsfondsen of institutionele beleggingspools die beleggen in aandelen</w:t>
      </w:r>
      <w:r>
        <w:rPr>
          <w:rFonts w:ascii="Calibri" w:hAnsi="Calibri"/>
          <w:color w:val="000000"/>
          <w:sz w:val="22"/>
          <w:lang w:eastAsia="nl-NL"/>
        </w:rPr>
        <w:t>.</w:t>
      </w:r>
    </w:p>
    <w:p w14:paraId="2420AF8B" w14:textId="77777777" w:rsidR="0013765C" w:rsidRDefault="0013765C" w:rsidP="000F0BA2">
      <w:pPr>
        <w:spacing w:before="140"/>
        <w:ind w:right="870" w:firstLine="19"/>
        <w:rPr>
          <w:rFonts w:ascii="Calibri" w:hAnsi="Calibri"/>
          <w:color w:val="000000"/>
          <w:sz w:val="22"/>
          <w:lang w:eastAsia="nl-NL"/>
        </w:rPr>
      </w:pPr>
    </w:p>
    <w:p w14:paraId="14FB1EB9" w14:textId="77777777" w:rsidR="0013765C" w:rsidRPr="0013765C" w:rsidRDefault="0013765C" w:rsidP="000F0BA2">
      <w:pPr>
        <w:spacing w:before="140"/>
        <w:ind w:right="870" w:firstLine="19"/>
        <w:rPr>
          <w:rFonts w:ascii="Calibri" w:hAnsi="Calibri"/>
          <w:color w:val="000000"/>
          <w:sz w:val="22"/>
          <w:lang w:eastAsia="nl-NL"/>
        </w:rPr>
      </w:pPr>
      <w:proofErr w:type="spellStart"/>
      <w:r w:rsidRPr="0013765C">
        <w:rPr>
          <w:rFonts w:ascii="Calibri" w:hAnsi="Calibri"/>
          <w:color w:val="000000"/>
          <w:sz w:val="22"/>
          <w:u w:val="single"/>
          <w:lang w:eastAsia="nl-NL"/>
        </w:rPr>
        <w:lastRenderedPageBreak/>
        <w:t>Onroerendgoedaandelen</w:t>
      </w:r>
      <w:proofErr w:type="spellEnd"/>
      <w:r w:rsidRPr="0013765C">
        <w:rPr>
          <w:rFonts w:ascii="Calibri" w:hAnsi="Calibri"/>
          <w:color w:val="000000"/>
          <w:sz w:val="22"/>
          <w:lang w:eastAsia="nl-NL"/>
        </w:rPr>
        <w:t xml:space="preserve">: Onder </w:t>
      </w:r>
      <w:proofErr w:type="spellStart"/>
      <w:r w:rsidRPr="0013765C">
        <w:rPr>
          <w:rFonts w:ascii="Calibri" w:hAnsi="Calibri"/>
          <w:color w:val="000000"/>
          <w:sz w:val="22"/>
          <w:lang w:eastAsia="nl-NL"/>
        </w:rPr>
        <w:t>onroerendgoedaandelen</w:t>
      </w:r>
      <w:proofErr w:type="spellEnd"/>
      <w:r w:rsidRPr="0013765C">
        <w:rPr>
          <w:rFonts w:ascii="Calibri" w:hAnsi="Calibri"/>
          <w:color w:val="000000"/>
          <w:sz w:val="22"/>
          <w:lang w:eastAsia="nl-NL"/>
        </w:rPr>
        <w:t xml:space="preserve"> wordt verstaan: verhandelbare </w:t>
      </w:r>
      <w:r w:rsidRPr="0013765C">
        <w:rPr>
          <w:rFonts w:ascii="Calibri" w:hAnsi="Calibri"/>
          <w:color w:val="000000"/>
          <w:sz w:val="22"/>
          <w:lang w:eastAsia="nl-NL"/>
        </w:rPr>
        <w:br/>
        <w:t>aandelen in onroerendgoedondernemingen die zijn genoteerd aan de</w:t>
      </w:r>
      <w:r>
        <w:rPr>
          <w:rFonts w:ascii="Calibri" w:hAnsi="Calibri"/>
          <w:color w:val="000000"/>
          <w:sz w:val="22"/>
          <w:lang w:eastAsia="nl-NL"/>
        </w:rPr>
        <w:t xml:space="preserve"> </w:t>
      </w:r>
      <w:r w:rsidRPr="0013765C">
        <w:rPr>
          <w:rFonts w:ascii="Calibri" w:hAnsi="Calibri"/>
          <w:color w:val="000000"/>
          <w:sz w:val="22"/>
          <w:lang w:eastAsia="nl-NL"/>
        </w:rPr>
        <w:t xml:space="preserve">erkende beurzen. Hieronder worden ook verstaan beleggingsfondsen of institutionele beleggingspools die beleggen in </w:t>
      </w:r>
      <w:proofErr w:type="spellStart"/>
      <w:r w:rsidRPr="0013765C">
        <w:rPr>
          <w:rFonts w:ascii="Calibri" w:hAnsi="Calibri"/>
          <w:color w:val="000000"/>
          <w:sz w:val="22"/>
          <w:lang w:eastAsia="nl-NL"/>
        </w:rPr>
        <w:t>onroerendgoedaandelen</w:t>
      </w:r>
      <w:proofErr w:type="spellEnd"/>
      <w:r>
        <w:rPr>
          <w:rFonts w:ascii="Calibri" w:hAnsi="Calibri"/>
          <w:color w:val="000000"/>
          <w:sz w:val="22"/>
          <w:lang w:eastAsia="nl-NL"/>
        </w:rPr>
        <w:t>.</w:t>
      </w:r>
    </w:p>
    <w:p w14:paraId="00D664AB" w14:textId="77777777" w:rsidR="0013765C" w:rsidRDefault="0013765C" w:rsidP="000F0BA2">
      <w:pPr>
        <w:spacing w:before="50"/>
        <w:rPr>
          <w:color w:val="000000"/>
          <w:w w:val="121"/>
          <w:sz w:val="18"/>
          <w:szCs w:val="18"/>
          <w:u w:val="single"/>
        </w:rPr>
      </w:pPr>
    </w:p>
    <w:p w14:paraId="3BE0B635" w14:textId="77777777" w:rsidR="0013765C" w:rsidRDefault="0013765C" w:rsidP="000F0BA2">
      <w:pPr>
        <w:spacing w:before="140"/>
        <w:ind w:right="870" w:firstLine="19"/>
        <w:rPr>
          <w:rFonts w:ascii="Calibri" w:hAnsi="Calibri"/>
          <w:color w:val="000000"/>
          <w:sz w:val="22"/>
          <w:lang w:eastAsia="nl-NL"/>
        </w:rPr>
      </w:pPr>
      <w:r w:rsidRPr="0013765C">
        <w:rPr>
          <w:rFonts w:ascii="Calibri" w:hAnsi="Calibri"/>
          <w:color w:val="000000"/>
          <w:sz w:val="22"/>
          <w:u w:val="single"/>
          <w:lang w:eastAsia="nl-NL"/>
        </w:rPr>
        <w:t>Liquiditeiten</w:t>
      </w:r>
      <w:r w:rsidRPr="0013765C">
        <w:rPr>
          <w:rFonts w:ascii="Calibri" w:hAnsi="Calibri"/>
          <w:color w:val="000000"/>
          <w:sz w:val="22"/>
          <w:lang w:eastAsia="nl-NL"/>
        </w:rPr>
        <w:t xml:space="preserve">: Onder liquiditeiten worden verstaan: liquiditeiten op de rekening en </w:t>
      </w:r>
      <w:r w:rsidRPr="0013765C">
        <w:rPr>
          <w:rFonts w:ascii="Calibri" w:hAnsi="Calibri"/>
          <w:color w:val="000000"/>
          <w:sz w:val="22"/>
          <w:lang w:eastAsia="nl-NL"/>
        </w:rPr>
        <w:br/>
        <w:t xml:space="preserve">beleggingen in deposito's met een maximale looptijd van </w:t>
      </w:r>
      <w:r>
        <w:rPr>
          <w:rFonts w:ascii="Calibri" w:hAnsi="Calibri"/>
          <w:color w:val="000000"/>
          <w:sz w:val="22"/>
          <w:lang w:eastAsia="nl-NL"/>
        </w:rPr>
        <w:t>e</w:t>
      </w:r>
      <w:r w:rsidRPr="0013765C">
        <w:rPr>
          <w:rFonts w:ascii="Calibri" w:hAnsi="Calibri"/>
          <w:color w:val="000000"/>
          <w:sz w:val="22"/>
          <w:lang w:eastAsia="nl-NL"/>
        </w:rPr>
        <w:t>en jaar</w:t>
      </w:r>
      <w:r>
        <w:rPr>
          <w:rFonts w:ascii="Calibri" w:hAnsi="Calibri"/>
          <w:color w:val="000000"/>
          <w:sz w:val="22"/>
          <w:lang w:eastAsia="nl-NL"/>
        </w:rPr>
        <w:t>.</w:t>
      </w:r>
    </w:p>
    <w:p w14:paraId="36BAF10A" w14:textId="77777777" w:rsidR="0013765C" w:rsidRPr="0013765C" w:rsidRDefault="0013765C" w:rsidP="000F0BA2">
      <w:pPr>
        <w:spacing w:before="140"/>
        <w:ind w:right="870" w:firstLine="19"/>
        <w:rPr>
          <w:rFonts w:ascii="Calibri" w:hAnsi="Calibri"/>
          <w:color w:val="000000"/>
          <w:sz w:val="22"/>
          <w:lang w:eastAsia="nl-NL"/>
        </w:rPr>
      </w:pPr>
    </w:p>
    <w:p w14:paraId="3CBDCD26" w14:textId="77777777" w:rsidR="0013765C" w:rsidRPr="0013765C" w:rsidRDefault="0013765C" w:rsidP="000F0BA2">
      <w:pPr>
        <w:spacing w:before="140"/>
        <w:ind w:right="870" w:firstLine="19"/>
        <w:rPr>
          <w:rFonts w:ascii="Calibri" w:hAnsi="Calibri"/>
          <w:color w:val="000000"/>
          <w:sz w:val="22"/>
          <w:lang w:eastAsia="nl-NL"/>
        </w:rPr>
      </w:pPr>
      <w:r w:rsidRPr="0013765C">
        <w:rPr>
          <w:rFonts w:ascii="Calibri" w:hAnsi="Calibri"/>
          <w:color w:val="000000"/>
          <w:sz w:val="22"/>
          <w:u w:val="single"/>
          <w:lang w:eastAsia="nl-NL"/>
        </w:rPr>
        <w:t>Beleggingsfondsen</w:t>
      </w:r>
      <w:r w:rsidRPr="0013765C">
        <w:rPr>
          <w:rFonts w:ascii="Calibri" w:hAnsi="Calibri"/>
          <w:color w:val="000000"/>
          <w:sz w:val="22"/>
          <w:lang w:eastAsia="nl-NL"/>
        </w:rPr>
        <w:t xml:space="preserve">: In het algemeen kan een beleggingsfonds worden omschreven als een </w:t>
      </w:r>
      <w:r w:rsidRPr="0013765C">
        <w:rPr>
          <w:rFonts w:ascii="Calibri" w:hAnsi="Calibri"/>
          <w:color w:val="000000"/>
          <w:sz w:val="22"/>
          <w:lang w:eastAsia="nl-NL"/>
        </w:rPr>
        <w:br/>
        <w:t>door de participanten bijeengebracht vermogen dat door een</w:t>
      </w:r>
      <w:r>
        <w:rPr>
          <w:rFonts w:ascii="Calibri" w:hAnsi="Calibri"/>
          <w:color w:val="000000"/>
          <w:sz w:val="22"/>
          <w:lang w:eastAsia="nl-NL"/>
        </w:rPr>
        <w:t xml:space="preserve"> </w:t>
      </w:r>
      <w:r w:rsidRPr="0013765C">
        <w:rPr>
          <w:rFonts w:ascii="Calibri" w:hAnsi="Calibri"/>
          <w:color w:val="000000"/>
          <w:sz w:val="22"/>
          <w:lang w:eastAsia="nl-NL"/>
        </w:rPr>
        <w:t>beheerder collectief wordt belegd in Financiële Instrumenten. De beleggingen kunnen zich richten op bepaalde vermogenscategorie</w:t>
      </w:r>
      <w:r>
        <w:rPr>
          <w:rFonts w:ascii="Calibri" w:hAnsi="Calibri"/>
          <w:color w:val="000000"/>
          <w:sz w:val="22"/>
          <w:lang w:eastAsia="nl-NL"/>
        </w:rPr>
        <w:t>ë</w:t>
      </w:r>
      <w:r w:rsidRPr="0013765C">
        <w:rPr>
          <w:rFonts w:ascii="Calibri" w:hAnsi="Calibri"/>
          <w:color w:val="000000"/>
          <w:sz w:val="22"/>
          <w:lang w:eastAsia="nl-NL"/>
        </w:rPr>
        <w:t xml:space="preserve">n zoals private </w:t>
      </w:r>
      <w:proofErr w:type="spellStart"/>
      <w:r w:rsidRPr="0013765C">
        <w:rPr>
          <w:rFonts w:ascii="Calibri" w:hAnsi="Calibri"/>
          <w:color w:val="000000"/>
          <w:sz w:val="22"/>
          <w:lang w:eastAsia="nl-NL"/>
        </w:rPr>
        <w:t>equity</w:t>
      </w:r>
      <w:proofErr w:type="spellEnd"/>
      <w:r w:rsidRPr="0013765C">
        <w:rPr>
          <w:rFonts w:ascii="Calibri" w:hAnsi="Calibri"/>
          <w:color w:val="000000"/>
          <w:sz w:val="22"/>
          <w:lang w:eastAsia="nl-NL"/>
        </w:rPr>
        <w:t>, aandelen, obligaties, onroerend goed of een mix daarvan. Daarnaast bestaan er beleggingsfondsen die zich richten op bepaalde bedrijfstakken, grondstoffen, edelmetalen of valuta's. Beleggen in een beleggingsfonds maakt het mogelijk om met een relatief klein bedrag een grotere spreiding binnen</w:t>
      </w:r>
      <w:r>
        <w:rPr>
          <w:rFonts w:ascii="Calibri" w:hAnsi="Calibri"/>
          <w:color w:val="000000"/>
          <w:sz w:val="22"/>
          <w:lang w:eastAsia="nl-NL"/>
        </w:rPr>
        <w:t xml:space="preserve"> </w:t>
      </w:r>
      <w:r w:rsidRPr="0013765C">
        <w:rPr>
          <w:rFonts w:ascii="Calibri" w:hAnsi="Calibri"/>
          <w:color w:val="000000"/>
          <w:sz w:val="22"/>
          <w:lang w:eastAsia="nl-NL"/>
        </w:rPr>
        <w:t>vermogenscategorieën te realiseren. Dit maakt over het algemeen het risico van de belegging kleiner dan wanneer wordt gekozen om direct in een bepaalde</w:t>
      </w:r>
      <w:r>
        <w:rPr>
          <w:rFonts w:ascii="Calibri" w:hAnsi="Calibri"/>
          <w:color w:val="000000"/>
          <w:sz w:val="22"/>
          <w:lang w:eastAsia="nl-NL"/>
        </w:rPr>
        <w:t xml:space="preserve"> </w:t>
      </w:r>
      <w:r w:rsidRPr="0013765C">
        <w:rPr>
          <w:rFonts w:ascii="Calibri" w:hAnsi="Calibri"/>
          <w:color w:val="000000"/>
          <w:sz w:val="22"/>
          <w:lang w:eastAsia="nl-NL"/>
        </w:rPr>
        <w:t>beleggingscategorie te beleggen.</w:t>
      </w:r>
    </w:p>
    <w:p w14:paraId="5873ED57" w14:textId="77777777" w:rsidR="0013765C" w:rsidRPr="005A12C1" w:rsidRDefault="0013765C" w:rsidP="000F0BA2">
      <w:pPr>
        <w:ind w:left="4214"/>
        <w:rPr>
          <w:sz w:val="24"/>
          <w:szCs w:val="24"/>
        </w:rPr>
      </w:pPr>
    </w:p>
    <w:p w14:paraId="726507D5" w14:textId="77777777" w:rsidR="0013765C" w:rsidRDefault="0013765C" w:rsidP="000F0BA2">
      <w:pPr>
        <w:spacing w:before="61"/>
        <w:ind w:left="38"/>
        <w:rPr>
          <w:rFonts w:ascii="Calibri" w:hAnsi="Calibri"/>
          <w:color w:val="000000"/>
          <w:sz w:val="22"/>
          <w:lang w:eastAsia="nl-NL"/>
        </w:rPr>
      </w:pPr>
      <w:r w:rsidRPr="0013765C">
        <w:rPr>
          <w:rFonts w:ascii="Calibri" w:hAnsi="Calibri"/>
          <w:color w:val="000000"/>
          <w:sz w:val="22"/>
          <w:lang w:eastAsia="nl-NL"/>
        </w:rPr>
        <w:t>Beleggingsfondsen kunnen (semi)</w:t>
      </w:r>
      <w:proofErr w:type="spellStart"/>
      <w:r w:rsidRPr="0013765C">
        <w:rPr>
          <w:rFonts w:ascii="Calibri" w:hAnsi="Calibri"/>
          <w:color w:val="000000"/>
          <w:sz w:val="22"/>
          <w:lang w:eastAsia="nl-NL"/>
        </w:rPr>
        <w:t>open-end</w:t>
      </w:r>
      <w:proofErr w:type="spellEnd"/>
      <w:r w:rsidRPr="0013765C">
        <w:rPr>
          <w:rFonts w:ascii="Calibri" w:hAnsi="Calibri"/>
          <w:color w:val="000000"/>
          <w:sz w:val="22"/>
          <w:lang w:eastAsia="nl-NL"/>
        </w:rPr>
        <w:t xml:space="preserve"> of </w:t>
      </w:r>
      <w:proofErr w:type="spellStart"/>
      <w:r w:rsidRPr="0013765C">
        <w:rPr>
          <w:rFonts w:ascii="Calibri" w:hAnsi="Calibri"/>
          <w:color w:val="000000"/>
          <w:sz w:val="22"/>
          <w:lang w:eastAsia="nl-NL"/>
        </w:rPr>
        <w:t>closed</w:t>
      </w:r>
      <w:proofErr w:type="spellEnd"/>
      <w:r w:rsidRPr="0013765C">
        <w:rPr>
          <w:rFonts w:ascii="Calibri" w:hAnsi="Calibri"/>
          <w:color w:val="000000"/>
          <w:sz w:val="22"/>
          <w:lang w:eastAsia="nl-NL"/>
        </w:rPr>
        <w:t>-end zijn:</w:t>
      </w:r>
    </w:p>
    <w:p w14:paraId="28EA5F6E" w14:textId="77777777" w:rsidR="0013765C" w:rsidRPr="0013765C" w:rsidRDefault="0013765C" w:rsidP="000F0BA2">
      <w:pPr>
        <w:spacing w:before="61"/>
        <w:ind w:left="38"/>
        <w:rPr>
          <w:rFonts w:ascii="Calibri" w:hAnsi="Calibri"/>
          <w:color w:val="000000"/>
          <w:sz w:val="22"/>
          <w:lang w:eastAsia="nl-NL"/>
        </w:rPr>
      </w:pPr>
    </w:p>
    <w:p w14:paraId="425BCBEA" w14:textId="77777777" w:rsidR="0013765C" w:rsidRPr="0013765C" w:rsidRDefault="0013765C" w:rsidP="000F0BA2">
      <w:pPr>
        <w:pStyle w:val="Lijstalinea"/>
        <w:numPr>
          <w:ilvl w:val="0"/>
          <w:numId w:val="18"/>
        </w:numPr>
        <w:ind w:right="1014"/>
        <w:rPr>
          <w:rFonts w:ascii="Calibri" w:hAnsi="Calibri"/>
          <w:color w:val="000000"/>
          <w:sz w:val="22"/>
          <w:lang w:eastAsia="nl-NL"/>
        </w:rPr>
      </w:pPr>
      <w:r w:rsidRPr="0013765C">
        <w:rPr>
          <w:rFonts w:ascii="Calibri" w:hAnsi="Calibri"/>
          <w:color w:val="000000"/>
          <w:sz w:val="22"/>
          <w:lang w:eastAsia="nl-NL"/>
        </w:rPr>
        <w:t>(Semi)</w:t>
      </w:r>
      <w:proofErr w:type="spellStart"/>
      <w:r w:rsidRPr="0013765C">
        <w:rPr>
          <w:rFonts w:ascii="Calibri" w:hAnsi="Calibri"/>
          <w:color w:val="000000"/>
          <w:sz w:val="22"/>
          <w:lang w:eastAsia="nl-NL"/>
        </w:rPr>
        <w:t>open-end</w:t>
      </w:r>
      <w:proofErr w:type="spellEnd"/>
      <w:r w:rsidRPr="0013765C">
        <w:rPr>
          <w:rFonts w:ascii="Calibri" w:hAnsi="Calibri"/>
          <w:color w:val="000000"/>
          <w:sz w:val="22"/>
          <w:lang w:eastAsia="nl-NL"/>
        </w:rPr>
        <w:t xml:space="preserve"> beleggingsinstellingen: de prijs is gebaseerd op de intrinsieke waarde van de beleggingsinstelling gecorrigeerd voor een op- of afslag.</w:t>
      </w:r>
    </w:p>
    <w:p w14:paraId="56AA9863" w14:textId="77777777" w:rsidR="0013765C" w:rsidRPr="0013765C" w:rsidRDefault="0013765C" w:rsidP="000F0BA2">
      <w:pPr>
        <w:pStyle w:val="Lijstalinea"/>
        <w:numPr>
          <w:ilvl w:val="0"/>
          <w:numId w:val="18"/>
        </w:numPr>
        <w:ind w:right="1158"/>
        <w:rPr>
          <w:rFonts w:ascii="Calibri" w:hAnsi="Calibri"/>
          <w:color w:val="000000"/>
          <w:sz w:val="22"/>
          <w:lang w:eastAsia="nl-NL"/>
        </w:rPr>
      </w:pPr>
      <w:r w:rsidRPr="0013765C">
        <w:rPr>
          <w:rFonts w:ascii="Calibri" w:hAnsi="Calibri"/>
          <w:color w:val="000000"/>
          <w:sz w:val="22"/>
          <w:lang w:eastAsia="nl-NL"/>
        </w:rPr>
        <w:t>Closed-end beleggingsinstellingen: de prijs is afhankelijk van de vraag naar en het aanbod van de rechten van deelneming. Indien er op een gegeven moment, om welke reden dan ook, al dan niet tijdelijk, weinig kopers beschikbaar zijn, kan de mogelijkheid tot verkoop niet of slechts zeer beperkt aanwezig zijn.</w:t>
      </w:r>
    </w:p>
    <w:p w14:paraId="69A4F9A2" w14:textId="77777777" w:rsidR="0013765C" w:rsidRDefault="0013765C" w:rsidP="000F0BA2">
      <w:pPr>
        <w:ind w:left="15" w:right="1537"/>
        <w:jc w:val="both"/>
      </w:pPr>
    </w:p>
    <w:p w14:paraId="6345B1C6" w14:textId="77777777" w:rsidR="00784C8D" w:rsidRDefault="00784C8D" w:rsidP="000F0BA2">
      <w:pPr>
        <w:tabs>
          <w:tab w:val="left" w:pos="8202"/>
        </w:tabs>
        <w:spacing w:before="140"/>
        <w:ind w:right="870" w:firstLine="19"/>
        <w:rPr>
          <w:rFonts w:ascii="Calibri" w:hAnsi="Calibri"/>
          <w:color w:val="000000"/>
          <w:sz w:val="22"/>
          <w:u w:val="single"/>
          <w:lang w:eastAsia="nl-NL"/>
        </w:rPr>
      </w:pPr>
      <w:r>
        <w:rPr>
          <w:rFonts w:ascii="Calibri" w:hAnsi="Calibri"/>
          <w:color w:val="000000"/>
          <w:sz w:val="22"/>
          <w:u w:val="single"/>
          <w:lang w:eastAsia="nl-NL"/>
        </w:rPr>
        <w:br/>
      </w:r>
      <w:r>
        <w:rPr>
          <w:rFonts w:ascii="Calibri" w:hAnsi="Calibri"/>
          <w:color w:val="000000"/>
          <w:sz w:val="22"/>
          <w:u w:val="single"/>
          <w:lang w:eastAsia="nl-NL"/>
        </w:rPr>
        <w:br/>
      </w:r>
    </w:p>
    <w:p w14:paraId="7909BCBA" w14:textId="612BAAD6" w:rsidR="0013765C" w:rsidRPr="0013765C" w:rsidRDefault="0013765C" w:rsidP="000F0BA2">
      <w:pPr>
        <w:tabs>
          <w:tab w:val="left" w:pos="8202"/>
        </w:tabs>
        <w:spacing w:before="140"/>
        <w:ind w:right="870" w:firstLine="19"/>
        <w:rPr>
          <w:rFonts w:ascii="Calibri" w:hAnsi="Calibri"/>
          <w:color w:val="000000"/>
          <w:sz w:val="22"/>
          <w:lang w:eastAsia="nl-NL"/>
        </w:rPr>
      </w:pPr>
      <w:r w:rsidRPr="0013765C">
        <w:rPr>
          <w:rFonts w:ascii="Calibri" w:hAnsi="Calibri"/>
          <w:color w:val="000000"/>
          <w:sz w:val="22"/>
          <w:u w:val="single"/>
          <w:lang w:eastAsia="nl-NL"/>
        </w:rPr>
        <w:t>Hedgefondsen</w:t>
      </w:r>
      <w:r w:rsidRPr="0013765C">
        <w:rPr>
          <w:rFonts w:ascii="Calibri" w:hAnsi="Calibri"/>
          <w:color w:val="000000"/>
          <w:sz w:val="22"/>
          <w:lang w:eastAsia="nl-NL"/>
        </w:rPr>
        <w:t xml:space="preserve">: Hedgefondsen (ook </w:t>
      </w:r>
      <w:proofErr w:type="spellStart"/>
      <w:r w:rsidRPr="0013765C">
        <w:rPr>
          <w:rFonts w:ascii="Calibri" w:hAnsi="Calibri"/>
          <w:color w:val="000000"/>
          <w:sz w:val="22"/>
          <w:lang w:eastAsia="nl-NL"/>
        </w:rPr>
        <w:t>hedgefunds</w:t>
      </w:r>
      <w:proofErr w:type="spellEnd"/>
      <w:r w:rsidRPr="0013765C">
        <w:rPr>
          <w:rFonts w:ascii="Calibri" w:hAnsi="Calibri"/>
          <w:color w:val="000000"/>
          <w:sz w:val="22"/>
          <w:lang w:eastAsia="nl-NL"/>
        </w:rPr>
        <w:t xml:space="preserve"> genoemd) zijn een specifieke vorm </w:t>
      </w:r>
      <w:r w:rsidRPr="0013765C">
        <w:rPr>
          <w:rFonts w:ascii="Calibri" w:hAnsi="Calibri"/>
          <w:color w:val="000000"/>
          <w:sz w:val="22"/>
          <w:lang w:eastAsia="nl-NL"/>
        </w:rPr>
        <w:br/>
        <w:t>van een beleggingsfonds. De fondsbeheerder tracht een optimaal rendement te realiseren onafhankelijk van de richting van de beurs</w:t>
      </w:r>
      <w:r>
        <w:rPr>
          <w:rFonts w:ascii="Calibri" w:hAnsi="Calibri"/>
          <w:color w:val="000000"/>
          <w:sz w:val="22"/>
          <w:lang w:eastAsia="nl-NL"/>
        </w:rPr>
        <w:t xml:space="preserve"> </w:t>
      </w:r>
      <w:r w:rsidRPr="0013765C">
        <w:rPr>
          <w:rFonts w:ascii="Calibri" w:hAnsi="Calibri"/>
          <w:color w:val="000000"/>
          <w:sz w:val="22"/>
          <w:lang w:eastAsia="nl-NL"/>
        </w:rPr>
        <w:t>(een absoluut rendementsbenadering). Een van de verschillen tussen hedgefondsen en k</w:t>
      </w:r>
      <w:r>
        <w:rPr>
          <w:rFonts w:ascii="Calibri" w:hAnsi="Calibri"/>
          <w:color w:val="000000"/>
          <w:sz w:val="22"/>
          <w:lang w:eastAsia="nl-NL"/>
        </w:rPr>
        <w:t>l</w:t>
      </w:r>
      <w:r w:rsidRPr="0013765C">
        <w:rPr>
          <w:rFonts w:ascii="Calibri" w:hAnsi="Calibri"/>
          <w:color w:val="000000"/>
          <w:sz w:val="22"/>
          <w:lang w:eastAsia="nl-NL"/>
        </w:rPr>
        <w:t xml:space="preserve">assieke beleggingsfondsen is dat hedgefondsen </w:t>
      </w:r>
      <w:r w:rsidRPr="0013765C">
        <w:rPr>
          <w:rFonts w:ascii="Calibri" w:hAnsi="Calibri"/>
          <w:color w:val="000000"/>
          <w:sz w:val="22"/>
          <w:lang w:eastAsia="nl-NL"/>
        </w:rPr>
        <w:br/>
        <w:t>gebruik maken van een breder scala aan instrumenten en</w:t>
      </w:r>
      <w:r>
        <w:rPr>
          <w:rFonts w:ascii="Calibri" w:hAnsi="Calibri"/>
          <w:color w:val="000000"/>
          <w:sz w:val="22"/>
          <w:lang w:eastAsia="nl-NL"/>
        </w:rPr>
        <w:t xml:space="preserve"> </w:t>
      </w:r>
      <w:r w:rsidRPr="0013765C">
        <w:rPr>
          <w:rFonts w:ascii="Calibri" w:hAnsi="Calibri"/>
          <w:color w:val="000000"/>
          <w:sz w:val="22"/>
          <w:lang w:eastAsia="nl-NL"/>
        </w:rPr>
        <w:t>hande</w:t>
      </w:r>
      <w:r>
        <w:rPr>
          <w:rFonts w:ascii="Calibri" w:hAnsi="Calibri"/>
          <w:color w:val="000000"/>
          <w:sz w:val="22"/>
          <w:lang w:eastAsia="nl-NL"/>
        </w:rPr>
        <w:t>l</w:t>
      </w:r>
      <w:r w:rsidRPr="0013765C">
        <w:rPr>
          <w:rFonts w:ascii="Calibri" w:hAnsi="Calibri"/>
          <w:color w:val="000000"/>
          <w:sz w:val="22"/>
          <w:lang w:eastAsia="nl-NL"/>
        </w:rPr>
        <w:t>stechnieken.</w:t>
      </w:r>
    </w:p>
    <w:p w14:paraId="059A1599" w14:textId="77777777" w:rsidR="0013765C" w:rsidRDefault="0013765C" w:rsidP="000F0BA2">
      <w:pPr>
        <w:ind w:left="15" w:right="1537"/>
        <w:jc w:val="both"/>
      </w:pPr>
    </w:p>
    <w:p w14:paraId="033B42F6" w14:textId="77777777" w:rsidR="0013765C" w:rsidRPr="0013765C" w:rsidRDefault="0013765C" w:rsidP="000F0BA2">
      <w:pPr>
        <w:spacing w:before="66"/>
        <w:ind w:left="10"/>
        <w:rPr>
          <w:rFonts w:ascii="Calibri" w:hAnsi="Calibri"/>
          <w:color w:val="000000"/>
          <w:sz w:val="22"/>
          <w:lang w:eastAsia="nl-NL"/>
        </w:rPr>
      </w:pPr>
      <w:proofErr w:type="spellStart"/>
      <w:r w:rsidRPr="0013765C">
        <w:rPr>
          <w:rFonts w:ascii="Calibri" w:hAnsi="Calibri"/>
          <w:color w:val="000000"/>
          <w:sz w:val="22"/>
          <w:u w:val="single"/>
          <w:lang w:eastAsia="nl-NL"/>
        </w:rPr>
        <w:t>Investments</w:t>
      </w:r>
      <w:proofErr w:type="spellEnd"/>
      <w:r w:rsidRPr="0013765C">
        <w:rPr>
          <w:rFonts w:ascii="Calibri" w:hAnsi="Calibri"/>
          <w:color w:val="000000"/>
          <w:sz w:val="22"/>
          <w:lang w:eastAsia="nl-NL"/>
        </w:rPr>
        <w:t>: Participaties in ondernemingen</w:t>
      </w:r>
    </w:p>
    <w:sectPr w:rsidR="0013765C" w:rsidRPr="0013765C" w:rsidSect="00616E4E">
      <w:headerReference w:type="default" r:id="rId10"/>
      <w:footerReference w:type="default" r:id="rId11"/>
      <w:pgSz w:w="11906" w:h="16838"/>
      <w:pgMar w:top="1417" w:right="1417" w:bottom="1417" w:left="1417" w:header="708" w:footer="708"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1A29" w14:textId="77777777" w:rsidR="00273AB8" w:rsidRDefault="00273AB8">
      <w:r>
        <w:separator/>
      </w:r>
    </w:p>
  </w:endnote>
  <w:endnote w:type="continuationSeparator" w:id="0">
    <w:p w14:paraId="22088056" w14:textId="77777777" w:rsidR="00273AB8" w:rsidRDefault="0027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51B5" w14:textId="77777777" w:rsidR="00A60E2C" w:rsidRDefault="00A60E2C">
    <w:pPr>
      <w:pStyle w:val="Voettekst"/>
    </w:pPr>
    <w:r>
      <w:rPr>
        <w:rStyle w:val="Paginanummer"/>
      </w:rPr>
      <w:tab/>
      <w:t xml:space="preserve">Pagina </w:t>
    </w:r>
    <w:r>
      <w:rPr>
        <w:rStyle w:val="Paginanummer"/>
      </w:rPr>
      <w:fldChar w:fldCharType="begin"/>
    </w:r>
    <w:r>
      <w:rPr>
        <w:rStyle w:val="Paginanummer"/>
      </w:rPr>
      <w:instrText xml:space="preserve"> PAGE </w:instrText>
    </w:r>
    <w:r>
      <w:rPr>
        <w:rStyle w:val="Paginanummer"/>
      </w:rPr>
      <w:fldChar w:fldCharType="separate"/>
    </w:r>
    <w:r w:rsidR="00EF741B">
      <w:rPr>
        <w:rStyle w:val="Paginanummer"/>
        <w:noProof/>
      </w:rPr>
      <w:t>8</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EF741B">
      <w:rPr>
        <w:rStyle w:val="Paginanummer"/>
        <w:noProof/>
      </w:rPr>
      <w:t>8</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0EE7" w14:textId="77777777" w:rsidR="00273AB8" w:rsidRDefault="00273AB8">
      <w:r>
        <w:separator/>
      </w:r>
    </w:p>
  </w:footnote>
  <w:footnote w:type="continuationSeparator" w:id="0">
    <w:p w14:paraId="05344283" w14:textId="77777777" w:rsidR="00273AB8" w:rsidRDefault="00273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6CF8" w14:textId="2CF60C35" w:rsidR="00A60E2C" w:rsidRPr="00C0537C" w:rsidRDefault="00A60E2C" w:rsidP="00C0537C">
    <w:pPr>
      <w:pStyle w:val="Koptekst"/>
      <w:ind w:left="2544" w:firstLine="4536"/>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A4E"/>
    <w:multiLevelType w:val="hybridMultilevel"/>
    <w:tmpl w:val="625CB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F0152"/>
    <w:multiLevelType w:val="singleLevel"/>
    <w:tmpl w:val="80A4AE6C"/>
    <w:lvl w:ilvl="0">
      <w:start w:val="1"/>
      <w:numFmt w:val="bullet"/>
      <w:lvlText w:val="-"/>
      <w:lvlJc w:val="left"/>
      <w:pPr>
        <w:tabs>
          <w:tab w:val="num" w:pos="357"/>
        </w:tabs>
        <w:ind w:left="357" w:hanging="357"/>
      </w:pPr>
      <w:rPr>
        <w:rFonts w:ascii="Times New Roman" w:hAnsi="Times New Roman" w:hint="default"/>
        <w:b w:val="0"/>
        <w:i w:val="0"/>
        <w:sz w:val="22"/>
      </w:rPr>
    </w:lvl>
  </w:abstractNum>
  <w:abstractNum w:abstractNumId="2" w15:restartNumberingAfterBreak="0">
    <w:nsid w:val="0C8F7F4B"/>
    <w:multiLevelType w:val="hybridMultilevel"/>
    <w:tmpl w:val="E088835A"/>
    <w:lvl w:ilvl="0" w:tplc="63AAEDD6">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E0775E"/>
    <w:multiLevelType w:val="hybridMultilevel"/>
    <w:tmpl w:val="5A2EF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33850"/>
    <w:multiLevelType w:val="hybridMultilevel"/>
    <w:tmpl w:val="4A749FF8"/>
    <w:lvl w:ilvl="0" w:tplc="C2B0964C">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35D77C8"/>
    <w:multiLevelType w:val="hybridMultilevel"/>
    <w:tmpl w:val="F45037C0"/>
    <w:lvl w:ilvl="0" w:tplc="E0E40938">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BF303D"/>
    <w:multiLevelType w:val="hybridMultilevel"/>
    <w:tmpl w:val="1CFA046A"/>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55F5E1C"/>
    <w:multiLevelType w:val="singleLevel"/>
    <w:tmpl w:val="A74A56CC"/>
    <w:lvl w:ilvl="0">
      <w:start w:val="1"/>
      <w:numFmt w:val="bullet"/>
      <w:lvlText w:val="-"/>
      <w:lvlJc w:val="left"/>
      <w:pPr>
        <w:tabs>
          <w:tab w:val="num" w:pos="357"/>
        </w:tabs>
        <w:ind w:left="357" w:hanging="357"/>
      </w:pPr>
      <w:rPr>
        <w:rFonts w:ascii="Times New Roman" w:hAnsi="Times New Roman" w:hint="default"/>
        <w:b w:val="0"/>
        <w:i w:val="0"/>
        <w:sz w:val="22"/>
      </w:rPr>
    </w:lvl>
  </w:abstractNum>
  <w:abstractNum w:abstractNumId="8" w15:restartNumberingAfterBreak="0">
    <w:nsid w:val="2DB36296"/>
    <w:multiLevelType w:val="hybridMultilevel"/>
    <w:tmpl w:val="35D24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AD0F04"/>
    <w:multiLevelType w:val="hybridMultilevel"/>
    <w:tmpl w:val="08FE6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70BF3"/>
    <w:multiLevelType w:val="hybridMultilevel"/>
    <w:tmpl w:val="1576D25A"/>
    <w:lvl w:ilvl="0" w:tplc="80A4AE6C">
      <w:start w:val="1"/>
      <w:numFmt w:val="bullet"/>
      <w:lvlText w:val="-"/>
      <w:lvlJc w:val="left"/>
      <w:pPr>
        <w:tabs>
          <w:tab w:val="num" w:pos="720"/>
        </w:tabs>
        <w:ind w:left="720" w:hanging="720"/>
      </w:pPr>
      <w:rPr>
        <w:rFonts w:ascii="Times New Roman" w:hAnsi="Times New Roman" w:hint="default"/>
        <w:b w:val="0"/>
        <w:i w:val="0"/>
        <w:sz w:val="22"/>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14F39C8"/>
    <w:multiLevelType w:val="hybridMultilevel"/>
    <w:tmpl w:val="E62A5D5E"/>
    <w:lvl w:ilvl="0" w:tplc="75F82DDE">
      <w:start w:val="1"/>
      <w:numFmt w:val="bullet"/>
      <w:lvlText w:val="•"/>
      <w:lvlJc w:val="left"/>
      <w:pPr>
        <w:tabs>
          <w:tab w:val="num" w:pos="360"/>
        </w:tabs>
        <w:ind w:left="360" w:hanging="360"/>
      </w:pPr>
      <w:rPr>
        <w:rFonts w:ascii="Arial" w:hAnsi="Arial" w:hint="default"/>
      </w:rPr>
    </w:lvl>
    <w:lvl w:ilvl="1" w:tplc="FF2AB1C0" w:tentative="1">
      <w:start w:val="1"/>
      <w:numFmt w:val="bullet"/>
      <w:lvlText w:val="•"/>
      <w:lvlJc w:val="left"/>
      <w:pPr>
        <w:tabs>
          <w:tab w:val="num" w:pos="1080"/>
        </w:tabs>
        <w:ind w:left="1080" w:hanging="360"/>
      </w:pPr>
      <w:rPr>
        <w:rFonts w:ascii="Arial" w:hAnsi="Arial" w:hint="default"/>
      </w:rPr>
    </w:lvl>
    <w:lvl w:ilvl="2" w:tplc="AE963DBE" w:tentative="1">
      <w:start w:val="1"/>
      <w:numFmt w:val="bullet"/>
      <w:lvlText w:val="•"/>
      <w:lvlJc w:val="left"/>
      <w:pPr>
        <w:tabs>
          <w:tab w:val="num" w:pos="1800"/>
        </w:tabs>
        <w:ind w:left="1800" w:hanging="360"/>
      </w:pPr>
      <w:rPr>
        <w:rFonts w:ascii="Arial" w:hAnsi="Arial" w:hint="default"/>
      </w:rPr>
    </w:lvl>
    <w:lvl w:ilvl="3" w:tplc="110087F8" w:tentative="1">
      <w:start w:val="1"/>
      <w:numFmt w:val="bullet"/>
      <w:lvlText w:val="•"/>
      <w:lvlJc w:val="left"/>
      <w:pPr>
        <w:tabs>
          <w:tab w:val="num" w:pos="2520"/>
        </w:tabs>
        <w:ind w:left="2520" w:hanging="360"/>
      </w:pPr>
      <w:rPr>
        <w:rFonts w:ascii="Arial" w:hAnsi="Arial" w:hint="default"/>
      </w:rPr>
    </w:lvl>
    <w:lvl w:ilvl="4" w:tplc="CDF6161A" w:tentative="1">
      <w:start w:val="1"/>
      <w:numFmt w:val="bullet"/>
      <w:lvlText w:val="•"/>
      <w:lvlJc w:val="left"/>
      <w:pPr>
        <w:tabs>
          <w:tab w:val="num" w:pos="3240"/>
        </w:tabs>
        <w:ind w:left="3240" w:hanging="360"/>
      </w:pPr>
      <w:rPr>
        <w:rFonts w:ascii="Arial" w:hAnsi="Arial" w:hint="default"/>
      </w:rPr>
    </w:lvl>
    <w:lvl w:ilvl="5" w:tplc="650627D6" w:tentative="1">
      <w:start w:val="1"/>
      <w:numFmt w:val="bullet"/>
      <w:lvlText w:val="•"/>
      <w:lvlJc w:val="left"/>
      <w:pPr>
        <w:tabs>
          <w:tab w:val="num" w:pos="3960"/>
        </w:tabs>
        <w:ind w:left="3960" w:hanging="360"/>
      </w:pPr>
      <w:rPr>
        <w:rFonts w:ascii="Arial" w:hAnsi="Arial" w:hint="default"/>
      </w:rPr>
    </w:lvl>
    <w:lvl w:ilvl="6" w:tplc="BE680D70" w:tentative="1">
      <w:start w:val="1"/>
      <w:numFmt w:val="bullet"/>
      <w:lvlText w:val="•"/>
      <w:lvlJc w:val="left"/>
      <w:pPr>
        <w:tabs>
          <w:tab w:val="num" w:pos="4680"/>
        </w:tabs>
        <w:ind w:left="4680" w:hanging="360"/>
      </w:pPr>
      <w:rPr>
        <w:rFonts w:ascii="Arial" w:hAnsi="Arial" w:hint="default"/>
      </w:rPr>
    </w:lvl>
    <w:lvl w:ilvl="7" w:tplc="DA08F776" w:tentative="1">
      <w:start w:val="1"/>
      <w:numFmt w:val="bullet"/>
      <w:lvlText w:val="•"/>
      <w:lvlJc w:val="left"/>
      <w:pPr>
        <w:tabs>
          <w:tab w:val="num" w:pos="5400"/>
        </w:tabs>
        <w:ind w:left="5400" w:hanging="360"/>
      </w:pPr>
      <w:rPr>
        <w:rFonts w:ascii="Arial" w:hAnsi="Arial" w:hint="default"/>
      </w:rPr>
    </w:lvl>
    <w:lvl w:ilvl="8" w:tplc="FF840D3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2C07B60"/>
    <w:multiLevelType w:val="hybridMultilevel"/>
    <w:tmpl w:val="BD9A697C"/>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3721C21"/>
    <w:multiLevelType w:val="hybridMultilevel"/>
    <w:tmpl w:val="B5BA3C62"/>
    <w:lvl w:ilvl="0" w:tplc="C2B0964C">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B677504"/>
    <w:multiLevelType w:val="hybridMultilevel"/>
    <w:tmpl w:val="5A76FB9A"/>
    <w:lvl w:ilvl="0" w:tplc="665E833E">
      <w:start w:val="1"/>
      <w:numFmt w:val="lowerLetter"/>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41E4BBB"/>
    <w:multiLevelType w:val="singleLevel"/>
    <w:tmpl w:val="9F389A4A"/>
    <w:lvl w:ilvl="0">
      <w:start w:val="1"/>
      <w:numFmt w:val="bullet"/>
      <w:lvlText w:val="-"/>
      <w:lvlJc w:val="left"/>
      <w:pPr>
        <w:tabs>
          <w:tab w:val="num" w:pos="357"/>
        </w:tabs>
        <w:ind w:left="357" w:hanging="357"/>
      </w:pPr>
      <w:rPr>
        <w:rFonts w:ascii="Times New Roman" w:hAnsi="Times New Roman" w:hint="default"/>
        <w:b w:val="0"/>
        <w:i w:val="0"/>
        <w:sz w:val="24"/>
      </w:rPr>
    </w:lvl>
  </w:abstractNum>
  <w:abstractNum w:abstractNumId="16" w15:restartNumberingAfterBreak="0">
    <w:nsid w:val="61C46974"/>
    <w:multiLevelType w:val="hybridMultilevel"/>
    <w:tmpl w:val="97C6F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9C5409"/>
    <w:multiLevelType w:val="hybridMultilevel"/>
    <w:tmpl w:val="289E8D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47CEC"/>
    <w:multiLevelType w:val="hybridMultilevel"/>
    <w:tmpl w:val="8DA474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63CF3"/>
    <w:multiLevelType w:val="hybridMultilevel"/>
    <w:tmpl w:val="93E2D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4E6829"/>
    <w:multiLevelType w:val="hybridMultilevel"/>
    <w:tmpl w:val="BE7E85B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227E9"/>
    <w:multiLevelType w:val="hybridMultilevel"/>
    <w:tmpl w:val="C2A4B1A8"/>
    <w:lvl w:ilvl="0" w:tplc="F8F0CC9A">
      <w:start w:val="1"/>
      <w:numFmt w:val="bullet"/>
      <w:lvlText w:val="•"/>
      <w:lvlJc w:val="left"/>
      <w:pPr>
        <w:tabs>
          <w:tab w:val="num" w:pos="720"/>
        </w:tabs>
        <w:ind w:left="720" w:hanging="360"/>
      </w:pPr>
      <w:rPr>
        <w:rFonts w:ascii="Arial" w:hAnsi="Arial" w:hint="default"/>
      </w:rPr>
    </w:lvl>
    <w:lvl w:ilvl="1" w:tplc="EDB6176A" w:tentative="1">
      <w:start w:val="1"/>
      <w:numFmt w:val="bullet"/>
      <w:lvlText w:val="•"/>
      <w:lvlJc w:val="left"/>
      <w:pPr>
        <w:tabs>
          <w:tab w:val="num" w:pos="1440"/>
        </w:tabs>
        <w:ind w:left="1440" w:hanging="360"/>
      </w:pPr>
      <w:rPr>
        <w:rFonts w:ascii="Arial" w:hAnsi="Arial" w:hint="default"/>
      </w:rPr>
    </w:lvl>
    <w:lvl w:ilvl="2" w:tplc="88BCF4AE" w:tentative="1">
      <w:start w:val="1"/>
      <w:numFmt w:val="bullet"/>
      <w:lvlText w:val="•"/>
      <w:lvlJc w:val="left"/>
      <w:pPr>
        <w:tabs>
          <w:tab w:val="num" w:pos="2160"/>
        </w:tabs>
        <w:ind w:left="2160" w:hanging="360"/>
      </w:pPr>
      <w:rPr>
        <w:rFonts w:ascii="Arial" w:hAnsi="Arial" w:hint="default"/>
      </w:rPr>
    </w:lvl>
    <w:lvl w:ilvl="3" w:tplc="65C8019A" w:tentative="1">
      <w:start w:val="1"/>
      <w:numFmt w:val="bullet"/>
      <w:lvlText w:val="•"/>
      <w:lvlJc w:val="left"/>
      <w:pPr>
        <w:tabs>
          <w:tab w:val="num" w:pos="2880"/>
        </w:tabs>
        <w:ind w:left="2880" w:hanging="360"/>
      </w:pPr>
      <w:rPr>
        <w:rFonts w:ascii="Arial" w:hAnsi="Arial" w:hint="default"/>
      </w:rPr>
    </w:lvl>
    <w:lvl w:ilvl="4" w:tplc="E0E2EB1C" w:tentative="1">
      <w:start w:val="1"/>
      <w:numFmt w:val="bullet"/>
      <w:lvlText w:val="•"/>
      <w:lvlJc w:val="left"/>
      <w:pPr>
        <w:tabs>
          <w:tab w:val="num" w:pos="3600"/>
        </w:tabs>
        <w:ind w:left="3600" w:hanging="360"/>
      </w:pPr>
      <w:rPr>
        <w:rFonts w:ascii="Arial" w:hAnsi="Arial" w:hint="default"/>
      </w:rPr>
    </w:lvl>
    <w:lvl w:ilvl="5" w:tplc="28ACC35E" w:tentative="1">
      <w:start w:val="1"/>
      <w:numFmt w:val="bullet"/>
      <w:lvlText w:val="•"/>
      <w:lvlJc w:val="left"/>
      <w:pPr>
        <w:tabs>
          <w:tab w:val="num" w:pos="4320"/>
        </w:tabs>
        <w:ind w:left="4320" w:hanging="360"/>
      </w:pPr>
      <w:rPr>
        <w:rFonts w:ascii="Arial" w:hAnsi="Arial" w:hint="default"/>
      </w:rPr>
    </w:lvl>
    <w:lvl w:ilvl="6" w:tplc="93CEB420" w:tentative="1">
      <w:start w:val="1"/>
      <w:numFmt w:val="bullet"/>
      <w:lvlText w:val="•"/>
      <w:lvlJc w:val="left"/>
      <w:pPr>
        <w:tabs>
          <w:tab w:val="num" w:pos="5040"/>
        </w:tabs>
        <w:ind w:left="5040" w:hanging="360"/>
      </w:pPr>
      <w:rPr>
        <w:rFonts w:ascii="Arial" w:hAnsi="Arial" w:hint="default"/>
      </w:rPr>
    </w:lvl>
    <w:lvl w:ilvl="7" w:tplc="CA2A560E" w:tentative="1">
      <w:start w:val="1"/>
      <w:numFmt w:val="bullet"/>
      <w:lvlText w:val="•"/>
      <w:lvlJc w:val="left"/>
      <w:pPr>
        <w:tabs>
          <w:tab w:val="num" w:pos="5760"/>
        </w:tabs>
        <w:ind w:left="5760" w:hanging="360"/>
      </w:pPr>
      <w:rPr>
        <w:rFonts w:ascii="Arial" w:hAnsi="Arial" w:hint="default"/>
      </w:rPr>
    </w:lvl>
    <w:lvl w:ilvl="8" w:tplc="C7A224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047198"/>
    <w:multiLevelType w:val="hybridMultilevel"/>
    <w:tmpl w:val="9E70DA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6035DE"/>
    <w:multiLevelType w:val="hybridMultilevel"/>
    <w:tmpl w:val="1A00C584"/>
    <w:lvl w:ilvl="0" w:tplc="23248F3A">
      <w:start w:val="1"/>
      <w:numFmt w:val="decimal"/>
      <w:lvlText w:val="%1"/>
      <w:lvlJc w:val="left"/>
      <w:pPr>
        <w:tabs>
          <w:tab w:val="num" w:pos="1080"/>
        </w:tabs>
        <w:ind w:left="1080" w:hanging="720"/>
      </w:pPr>
      <w:rPr>
        <w:rFonts w:cs="Times New Roman" w:hint="default"/>
      </w:rPr>
    </w:lvl>
    <w:lvl w:ilvl="1" w:tplc="EF3C7646">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30538024">
    <w:abstractNumId w:val="1"/>
  </w:num>
  <w:num w:numId="2" w16cid:durableId="306864738">
    <w:abstractNumId w:val="14"/>
  </w:num>
  <w:num w:numId="3" w16cid:durableId="2097746798">
    <w:abstractNumId w:val="10"/>
  </w:num>
  <w:num w:numId="4" w16cid:durableId="1582520343">
    <w:abstractNumId w:val="23"/>
  </w:num>
  <w:num w:numId="5" w16cid:durableId="44184486">
    <w:abstractNumId w:val="7"/>
  </w:num>
  <w:num w:numId="6" w16cid:durableId="936135253">
    <w:abstractNumId w:val="15"/>
  </w:num>
  <w:num w:numId="7" w16cid:durableId="1057627226">
    <w:abstractNumId w:val="21"/>
  </w:num>
  <w:num w:numId="8" w16cid:durableId="1696885634">
    <w:abstractNumId w:val="11"/>
  </w:num>
  <w:num w:numId="9" w16cid:durableId="1335113507">
    <w:abstractNumId w:val="3"/>
  </w:num>
  <w:num w:numId="10" w16cid:durableId="64183793">
    <w:abstractNumId w:val="9"/>
  </w:num>
  <w:num w:numId="11" w16cid:durableId="1850174064">
    <w:abstractNumId w:val="2"/>
  </w:num>
  <w:num w:numId="12" w16cid:durableId="89132440">
    <w:abstractNumId w:val="5"/>
  </w:num>
  <w:num w:numId="13" w16cid:durableId="487598020">
    <w:abstractNumId w:val="12"/>
  </w:num>
  <w:num w:numId="14" w16cid:durableId="197090770">
    <w:abstractNumId w:val="17"/>
  </w:num>
  <w:num w:numId="15" w16cid:durableId="116872037">
    <w:abstractNumId w:val="18"/>
  </w:num>
  <w:num w:numId="16" w16cid:durableId="239215915">
    <w:abstractNumId w:val="20"/>
  </w:num>
  <w:num w:numId="17" w16cid:durableId="335113621">
    <w:abstractNumId w:val="22"/>
  </w:num>
  <w:num w:numId="18" w16cid:durableId="1389304973">
    <w:abstractNumId w:val="6"/>
  </w:num>
  <w:num w:numId="19" w16cid:durableId="1563248236">
    <w:abstractNumId w:val="4"/>
  </w:num>
  <w:num w:numId="20" w16cid:durableId="547568453">
    <w:abstractNumId w:val="13"/>
  </w:num>
  <w:num w:numId="21" w16cid:durableId="1189295273">
    <w:abstractNumId w:val="0"/>
  </w:num>
  <w:num w:numId="22" w16cid:durableId="1966084582">
    <w:abstractNumId w:val="16"/>
  </w:num>
  <w:num w:numId="23" w16cid:durableId="1743261134">
    <w:abstractNumId w:val="8"/>
  </w:num>
  <w:num w:numId="24" w16cid:durableId="18542258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D9"/>
    <w:rsid w:val="00006FA2"/>
    <w:rsid w:val="00012374"/>
    <w:rsid w:val="00013D04"/>
    <w:rsid w:val="000319D9"/>
    <w:rsid w:val="000401C0"/>
    <w:rsid w:val="000426D8"/>
    <w:rsid w:val="0004725B"/>
    <w:rsid w:val="00055974"/>
    <w:rsid w:val="00060BDC"/>
    <w:rsid w:val="000847DC"/>
    <w:rsid w:val="0009654D"/>
    <w:rsid w:val="000A7FA8"/>
    <w:rsid w:val="000B07E2"/>
    <w:rsid w:val="000E0C12"/>
    <w:rsid w:val="000E0E2F"/>
    <w:rsid w:val="000F0BA2"/>
    <w:rsid w:val="000F5E01"/>
    <w:rsid w:val="00104649"/>
    <w:rsid w:val="00114370"/>
    <w:rsid w:val="0012154A"/>
    <w:rsid w:val="0012767D"/>
    <w:rsid w:val="0013765C"/>
    <w:rsid w:val="001468FA"/>
    <w:rsid w:val="001471FB"/>
    <w:rsid w:val="0015679F"/>
    <w:rsid w:val="00160712"/>
    <w:rsid w:val="00163DFE"/>
    <w:rsid w:val="00165126"/>
    <w:rsid w:val="00183090"/>
    <w:rsid w:val="001A28FF"/>
    <w:rsid w:val="001A7129"/>
    <w:rsid w:val="001B7623"/>
    <w:rsid w:val="001B78E7"/>
    <w:rsid w:val="001E18BE"/>
    <w:rsid w:val="001E7615"/>
    <w:rsid w:val="002022C5"/>
    <w:rsid w:val="00204D7D"/>
    <w:rsid w:val="00211421"/>
    <w:rsid w:val="0021306A"/>
    <w:rsid w:val="0021424B"/>
    <w:rsid w:val="002155E5"/>
    <w:rsid w:val="002228D0"/>
    <w:rsid w:val="00234E95"/>
    <w:rsid w:val="00247746"/>
    <w:rsid w:val="00253CCB"/>
    <w:rsid w:val="0026033D"/>
    <w:rsid w:val="002679CD"/>
    <w:rsid w:val="00273AB8"/>
    <w:rsid w:val="002838F9"/>
    <w:rsid w:val="002867B3"/>
    <w:rsid w:val="002A512A"/>
    <w:rsid w:val="002A7090"/>
    <w:rsid w:val="002B1729"/>
    <w:rsid w:val="002D564A"/>
    <w:rsid w:val="002F18B9"/>
    <w:rsid w:val="00332A7D"/>
    <w:rsid w:val="00340A0C"/>
    <w:rsid w:val="00353B86"/>
    <w:rsid w:val="003645B5"/>
    <w:rsid w:val="003730F5"/>
    <w:rsid w:val="00374306"/>
    <w:rsid w:val="00375C71"/>
    <w:rsid w:val="0038315D"/>
    <w:rsid w:val="00393BDC"/>
    <w:rsid w:val="003A0433"/>
    <w:rsid w:val="003A13F1"/>
    <w:rsid w:val="003A2D2D"/>
    <w:rsid w:val="003A3547"/>
    <w:rsid w:val="003D66F3"/>
    <w:rsid w:val="003E05DD"/>
    <w:rsid w:val="003F56B7"/>
    <w:rsid w:val="0040702C"/>
    <w:rsid w:val="00414EB0"/>
    <w:rsid w:val="0041795D"/>
    <w:rsid w:val="00426858"/>
    <w:rsid w:val="00436FBB"/>
    <w:rsid w:val="004452BC"/>
    <w:rsid w:val="00445F67"/>
    <w:rsid w:val="00450395"/>
    <w:rsid w:val="0045242A"/>
    <w:rsid w:val="00495531"/>
    <w:rsid w:val="004A0E25"/>
    <w:rsid w:val="004A1B80"/>
    <w:rsid w:val="004B12CC"/>
    <w:rsid w:val="004B404C"/>
    <w:rsid w:val="004C06F0"/>
    <w:rsid w:val="004C4AB5"/>
    <w:rsid w:val="004E4552"/>
    <w:rsid w:val="004E63FB"/>
    <w:rsid w:val="004E6570"/>
    <w:rsid w:val="005060F1"/>
    <w:rsid w:val="00506647"/>
    <w:rsid w:val="00506A09"/>
    <w:rsid w:val="005302CC"/>
    <w:rsid w:val="00541EC4"/>
    <w:rsid w:val="005464D8"/>
    <w:rsid w:val="00546D34"/>
    <w:rsid w:val="00557B6D"/>
    <w:rsid w:val="00574E5B"/>
    <w:rsid w:val="0058139F"/>
    <w:rsid w:val="00590B67"/>
    <w:rsid w:val="005C21B3"/>
    <w:rsid w:val="005D7301"/>
    <w:rsid w:val="006037EF"/>
    <w:rsid w:val="00606C57"/>
    <w:rsid w:val="00616E4E"/>
    <w:rsid w:val="006214BE"/>
    <w:rsid w:val="00640450"/>
    <w:rsid w:val="00644555"/>
    <w:rsid w:val="006503E5"/>
    <w:rsid w:val="006605B7"/>
    <w:rsid w:val="006608A0"/>
    <w:rsid w:val="0066134E"/>
    <w:rsid w:val="0067553E"/>
    <w:rsid w:val="00697073"/>
    <w:rsid w:val="006B03CF"/>
    <w:rsid w:val="006B4CD0"/>
    <w:rsid w:val="006C752D"/>
    <w:rsid w:val="006D2752"/>
    <w:rsid w:val="006E2350"/>
    <w:rsid w:val="006E2A3C"/>
    <w:rsid w:val="006F165B"/>
    <w:rsid w:val="007000CE"/>
    <w:rsid w:val="00737010"/>
    <w:rsid w:val="00744A3E"/>
    <w:rsid w:val="00755BE5"/>
    <w:rsid w:val="00760D98"/>
    <w:rsid w:val="007703ED"/>
    <w:rsid w:val="00783DC1"/>
    <w:rsid w:val="00784C8D"/>
    <w:rsid w:val="00787746"/>
    <w:rsid w:val="00796BA9"/>
    <w:rsid w:val="007B7F5B"/>
    <w:rsid w:val="007C2176"/>
    <w:rsid w:val="007D3922"/>
    <w:rsid w:val="007E4165"/>
    <w:rsid w:val="007E718E"/>
    <w:rsid w:val="007F64DA"/>
    <w:rsid w:val="00815A6A"/>
    <w:rsid w:val="00817C40"/>
    <w:rsid w:val="0082079B"/>
    <w:rsid w:val="00822687"/>
    <w:rsid w:val="00826536"/>
    <w:rsid w:val="0085304E"/>
    <w:rsid w:val="00866BF9"/>
    <w:rsid w:val="00874321"/>
    <w:rsid w:val="00893904"/>
    <w:rsid w:val="00897C1E"/>
    <w:rsid w:val="008A527B"/>
    <w:rsid w:val="008B17D9"/>
    <w:rsid w:val="008C5A51"/>
    <w:rsid w:val="008C6BA4"/>
    <w:rsid w:val="008D7365"/>
    <w:rsid w:val="008E08A6"/>
    <w:rsid w:val="008E30C8"/>
    <w:rsid w:val="008E3CBE"/>
    <w:rsid w:val="009532DF"/>
    <w:rsid w:val="00954084"/>
    <w:rsid w:val="00957CFE"/>
    <w:rsid w:val="00967546"/>
    <w:rsid w:val="00970C0B"/>
    <w:rsid w:val="00995BAB"/>
    <w:rsid w:val="009A23A5"/>
    <w:rsid w:val="009B364F"/>
    <w:rsid w:val="009B690A"/>
    <w:rsid w:val="009B6912"/>
    <w:rsid w:val="009C546A"/>
    <w:rsid w:val="009D02C2"/>
    <w:rsid w:val="009D08B2"/>
    <w:rsid w:val="00A117E0"/>
    <w:rsid w:val="00A138B5"/>
    <w:rsid w:val="00A31348"/>
    <w:rsid w:val="00A3171D"/>
    <w:rsid w:val="00A50B49"/>
    <w:rsid w:val="00A60E2C"/>
    <w:rsid w:val="00A65036"/>
    <w:rsid w:val="00A95FF3"/>
    <w:rsid w:val="00AA5AD8"/>
    <w:rsid w:val="00AB0180"/>
    <w:rsid w:val="00AB40DE"/>
    <w:rsid w:val="00AD5515"/>
    <w:rsid w:val="00AD60BB"/>
    <w:rsid w:val="00AD6210"/>
    <w:rsid w:val="00B049C5"/>
    <w:rsid w:val="00B06D13"/>
    <w:rsid w:val="00B11EAA"/>
    <w:rsid w:val="00B146AD"/>
    <w:rsid w:val="00B25587"/>
    <w:rsid w:val="00B47DC2"/>
    <w:rsid w:val="00B6115F"/>
    <w:rsid w:val="00B72497"/>
    <w:rsid w:val="00B77625"/>
    <w:rsid w:val="00B92BD3"/>
    <w:rsid w:val="00B95299"/>
    <w:rsid w:val="00BC2305"/>
    <w:rsid w:val="00BD04B9"/>
    <w:rsid w:val="00BE5E7A"/>
    <w:rsid w:val="00BE727B"/>
    <w:rsid w:val="00BF43D1"/>
    <w:rsid w:val="00C0537C"/>
    <w:rsid w:val="00C25C01"/>
    <w:rsid w:val="00C320AD"/>
    <w:rsid w:val="00C3763D"/>
    <w:rsid w:val="00C6717E"/>
    <w:rsid w:val="00C72273"/>
    <w:rsid w:val="00C73F64"/>
    <w:rsid w:val="00C80B28"/>
    <w:rsid w:val="00C82B0B"/>
    <w:rsid w:val="00C9104E"/>
    <w:rsid w:val="00CA664F"/>
    <w:rsid w:val="00CD28C0"/>
    <w:rsid w:val="00CE2C58"/>
    <w:rsid w:val="00D06630"/>
    <w:rsid w:val="00D2071A"/>
    <w:rsid w:val="00D20843"/>
    <w:rsid w:val="00D42607"/>
    <w:rsid w:val="00D61B8F"/>
    <w:rsid w:val="00D65A1A"/>
    <w:rsid w:val="00D80223"/>
    <w:rsid w:val="00D83C2E"/>
    <w:rsid w:val="00D84BDE"/>
    <w:rsid w:val="00D85C53"/>
    <w:rsid w:val="00D92E84"/>
    <w:rsid w:val="00D97831"/>
    <w:rsid w:val="00D97DEB"/>
    <w:rsid w:val="00DA13F9"/>
    <w:rsid w:val="00DA4587"/>
    <w:rsid w:val="00DB24EA"/>
    <w:rsid w:val="00DB736B"/>
    <w:rsid w:val="00DC79D7"/>
    <w:rsid w:val="00DD4807"/>
    <w:rsid w:val="00DE63CC"/>
    <w:rsid w:val="00DE7045"/>
    <w:rsid w:val="00E0722E"/>
    <w:rsid w:val="00E1262F"/>
    <w:rsid w:val="00E15DC8"/>
    <w:rsid w:val="00E16331"/>
    <w:rsid w:val="00E34B7C"/>
    <w:rsid w:val="00E52444"/>
    <w:rsid w:val="00E76B7F"/>
    <w:rsid w:val="00EA3FCB"/>
    <w:rsid w:val="00EE5416"/>
    <w:rsid w:val="00EF31EC"/>
    <w:rsid w:val="00EF741B"/>
    <w:rsid w:val="00F10B7C"/>
    <w:rsid w:val="00F14F90"/>
    <w:rsid w:val="00F236BB"/>
    <w:rsid w:val="00F35055"/>
    <w:rsid w:val="00F4548A"/>
    <w:rsid w:val="00F47EBA"/>
    <w:rsid w:val="00F50BAF"/>
    <w:rsid w:val="00F5511C"/>
    <w:rsid w:val="00F633A7"/>
    <w:rsid w:val="00F7343C"/>
    <w:rsid w:val="00F76A9B"/>
    <w:rsid w:val="00F85971"/>
    <w:rsid w:val="00FA4B83"/>
    <w:rsid w:val="00FA63F7"/>
    <w:rsid w:val="00FC2465"/>
    <w:rsid w:val="00FC6E1A"/>
    <w:rsid w:val="00FD5508"/>
    <w:rsid w:val="00FF5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0391B7"/>
  <w15:docId w15:val="{32BCD8DA-63A8-4FEF-83CB-AA4D28C9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19D9"/>
    <w:rPr>
      <w:rFonts w:ascii="Arial" w:hAnsi="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730F5"/>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qFormat/>
    <w:rsid w:val="00D83C2E"/>
    <w:rPr>
      <w:rFonts w:ascii="Calibri" w:hAnsi="Calibri"/>
      <w:sz w:val="22"/>
      <w:szCs w:val="22"/>
      <w:lang w:eastAsia="en-US"/>
    </w:rPr>
  </w:style>
  <w:style w:type="paragraph" w:customStyle="1" w:styleId="Hoofdtekst">
    <w:name w:val="Hoofdtekst"/>
    <w:rsid w:val="00D84BDE"/>
    <w:rPr>
      <w:rFonts w:ascii="Helvetica" w:hAnsi="Helvetica"/>
      <w:color w:val="000000"/>
      <w:sz w:val="24"/>
    </w:rPr>
  </w:style>
  <w:style w:type="paragraph" w:styleId="Normaalweb">
    <w:name w:val="Normal (Web)"/>
    <w:basedOn w:val="Standaard"/>
    <w:semiHidden/>
    <w:rsid w:val="00A3171D"/>
    <w:pPr>
      <w:spacing w:before="100" w:beforeAutospacing="1" w:after="100" w:afterAutospacing="1"/>
    </w:pPr>
    <w:rPr>
      <w:rFonts w:ascii="Times New Roman" w:hAnsi="Times New Roman"/>
      <w:sz w:val="24"/>
      <w:szCs w:val="24"/>
      <w:lang w:eastAsia="nl-NL"/>
    </w:rPr>
  </w:style>
  <w:style w:type="paragraph" w:styleId="Ballontekst">
    <w:name w:val="Balloon Text"/>
    <w:basedOn w:val="Standaard"/>
    <w:link w:val="BallontekstChar"/>
    <w:semiHidden/>
    <w:rsid w:val="002A512A"/>
    <w:rPr>
      <w:rFonts w:ascii="Tahoma" w:hAnsi="Tahoma" w:cs="Tahoma"/>
      <w:sz w:val="16"/>
      <w:szCs w:val="16"/>
    </w:rPr>
  </w:style>
  <w:style w:type="paragraph" w:customStyle="1" w:styleId="Default">
    <w:name w:val="Default"/>
    <w:rsid w:val="001B7623"/>
    <w:pPr>
      <w:autoSpaceDE w:val="0"/>
      <w:autoSpaceDN w:val="0"/>
      <w:adjustRightInd w:val="0"/>
    </w:pPr>
    <w:rPr>
      <w:rFonts w:ascii="Calibri" w:hAnsi="Calibri" w:cs="Calibri"/>
      <w:color w:val="000000"/>
      <w:sz w:val="24"/>
      <w:szCs w:val="24"/>
      <w:lang w:val="en-GB" w:eastAsia="en-GB"/>
    </w:rPr>
  </w:style>
  <w:style w:type="character" w:customStyle="1" w:styleId="BallontekstChar">
    <w:name w:val="Ballontekst Char"/>
    <w:link w:val="Ballontekst"/>
    <w:semiHidden/>
    <w:locked/>
    <w:rsid w:val="002A512A"/>
    <w:rPr>
      <w:rFonts w:ascii="Tahoma" w:hAnsi="Tahoma" w:cs="Tahoma"/>
      <w:sz w:val="16"/>
      <w:szCs w:val="16"/>
      <w:lang w:val="x-none" w:eastAsia="en-US"/>
    </w:rPr>
  </w:style>
  <w:style w:type="paragraph" w:styleId="Lijstalinea">
    <w:name w:val="List Paragraph"/>
    <w:basedOn w:val="Standaard"/>
    <w:uiPriority w:val="34"/>
    <w:qFormat/>
    <w:rsid w:val="003E05DD"/>
    <w:pPr>
      <w:ind w:left="720"/>
      <w:contextualSpacing/>
    </w:pPr>
  </w:style>
  <w:style w:type="paragraph" w:styleId="Plattetekst">
    <w:name w:val="Body Text"/>
    <w:basedOn w:val="Standaard"/>
    <w:rsid w:val="007D3922"/>
    <w:pPr>
      <w:tabs>
        <w:tab w:val="left" w:pos="-260"/>
        <w:tab w:val="left" w:pos="590"/>
        <w:tab w:val="left" w:pos="1441"/>
        <w:tab w:val="left" w:pos="2292"/>
        <w:tab w:val="left" w:pos="3143"/>
        <w:tab w:val="left" w:pos="3994"/>
        <w:tab w:val="left" w:pos="4844"/>
        <w:tab w:val="left" w:pos="5695"/>
        <w:tab w:val="left" w:pos="6546"/>
        <w:tab w:val="left" w:pos="7397"/>
        <w:tab w:val="left" w:pos="8248"/>
      </w:tabs>
      <w:ind w:right="566"/>
    </w:pPr>
    <w:rPr>
      <w:rFonts w:ascii="Times New Roman" w:hAnsi="Times New Roman"/>
      <w:szCs w:val="20"/>
      <w:lang w:eastAsia="nl-NL"/>
    </w:rPr>
  </w:style>
  <w:style w:type="paragraph" w:styleId="Koptekst">
    <w:name w:val="header"/>
    <w:basedOn w:val="Standaard"/>
    <w:rsid w:val="00F4548A"/>
    <w:pPr>
      <w:tabs>
        <w:tab w:val="center" w:pos="4536"/>
        <w:tab w:val="right" w:pos="9072"/>
      </w:tabs>
    </w:pPr>
  </w:style>
  <w:style w:type="paragraph" w:styleId="Voettekst">
    <w:name w:val="footer"/>
    <w:basedOn w:val="Standaard"/>
    <w:rsid w:val="00F4548A"/>
    <w:pPr>
      <w:tabs>
        <w:tab w:val="center" w:pos="4536"/>
        <w:tab w:val="right" w:pos="9072"/>
      </w:tabs>
    </w:pPr>
  </w:style>
  <w:style w:type="character" w:styleId="Paginanummer">
    <w:name w:val="page number"/>
    <w:basedOn w:val="Standaardalinea-lettertype"/>
    <w:rsid w:val="000B07E2"/>
  </w:style>
  <w:style w:type="character" w:styleId="Verwijzingopmerking">
    <w:name w:val="annotation reference"/>
    <w:basedOn w:val="Standaardalinea-lettertype"/>
    <w:rsid w:val="0040702C"/>
    <w:rPr>
      <w:sz w:val="16"/>
      <w:szCs w:val="16"/>
    </w:rPr>
  </w:style>
  <w:style w:type="paragraph" w:styleId="Tekstopmerking">
    <w:name w:val="annotation text"/>
    <w:basedOn w:val="Standaard"/>
    <w:link w:val="TekstopmerkingChar"/>
    <w:rsid w:val="0040702C"/>
    <w:rPr>
      <w:szCs w:val="20"/>
    </w:rPr>
  </w:style>
  <w:style w:type="character" w:customStyle="1" w:styleId="TekstopmerkingChar">
    <w:name w:val="Tekst opmerking Char"/>
    <w:basedOn w:val="Standaardalinea-lettertype"/>
    <w:link w:val="Tekstopmerking"/>
    <w:rsid w:val="0040702C"/>
    <w:rPr>
      <w:rFonts w:ascii="Arial" w:hAnsi="Arial"/>
      <w:lang w:eastAsia="en-US"/>
    </w:rPr>
  </w:style>
  <w:style w:type="paragraph" w:styleId="Onderwerpvanopmerking">
    <w:name w:val="annotation subject"/>
    <w:basedOn w:val="Tekstopmerking"/>
    <w:next w:val="Tekstopmerking"/>
    <w:link w:val="OnderwerpvanopmerkingChar"/>
    <w:rsid w:val="0040702C"/>
    <w:rPr>
      <w:b/>
      <w:bCs/>
    </w:rPr>
  </w:style>
  <w:style w:type="character" w:customStyle="1" w:styleId="OnderwerpvanopmerkingChar">
    <w:name w:val="Onderwerp van opmerking Char"/>
    <w:basedOn w:val="TekstopmerkingChar"/>
    <w:link w:val="Onderwerpvanopmerking"/>
    <w:rsid w:val="0040702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432369">
      <w:bodyDiv w:val="1"/>
      <w:marLeft w:val="0"/>
      <w:marRight w:val="0"/>
      <w:marTop w:val="0"/>
      <w:marBottom w:val="0"/>
      <w:divBdr>
        <w:top w:val="none" w:sz="0" w:space="0" w:color="auto"/>
        <w:left w:val="none" w:sz="0" w:space="0" w:color="auto"/>
        <w:bottom w:val="none" w:sz="0" w:space="0" w:color="auto"/>
        <w:right w:val="none" w:sz="0" w:space="0" w:color="auto"/>
      </w:divBdr>
    </w:div>
    <w:div w:id="1689716030">
      <w:bodyDiv w:val="1"/>
      <w:marLeft w:val="0"/>
      <w:marRight w:val="0"/>
      <w:marTop w:val="0"/>
      <w:marBottom w:val="0"/>
      <w:divBdr>
        <w:top w:val="none" w:sz="0" w:space="0" w:color="auto"/>
        <w:left w:val="none" w:sz="0" w:space="0" w:color="auto"/>
        <w:bottom w:val="none" w:sz="0" w:space="0" w:color="auto"/>
        <w:right w:val="none" w:sz="0" w:space="0" w:color="auto"/>
      </w:divBdr>
    </w:div>
    <w:div w:id="18298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B95E4DF940341893B3A9E757776CC" ma:contentTypeVersion="12" ma:contentTypeDescription="Een nieuw document maken." ma:contentTypeScope="" ma:versionID="07c579a3d1cf383082a9094fcd689abc">
  <xsd:schema xmlns:xsd="http://www.w3.org/2001/XMLSchema" xmlns:xs="http://www.w3.org/2001/XMLSchema" xmlns:p="http://schemas.microsoft.com/office/2006/metadata/properties" xmlns:ns2="cf2f46be-50cd-41cc-a5a3-1ee93b6847aa" xmlns:ns3="19b53d68-06dc-4363-8c38-a66e89ecd26c" targetNamespace="http://schemas.microsoft.com/office/2006/metadata/properties" ma:root="true" ma:fieldsID="d29cb4b2f8ce4606d9c16e7bcc9decb4" ns2:_="" ns3:_="">
    <xsd:import namespace="cf2f46be-50cd-41cc-a5a3-1ee93b6847aa"/>
    <xsd:import namespace="19b53d68-06dc-4363-8c38-a66e89ecd2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46be-50cd-41cc-a5a3-1ee93b684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53d68-06dc-4363-8c38-a66e89ecd26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E419D-B177-42F4-8F1B-CC779C15A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f46be-50cd-41cc-a5a3-1ee93b6847aa"/>
    <ds:schemaRef ds:uri="19b53d68-06dc-4363-8c38-a66e89ecd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CB0A2-A8A7-4B65-87D0-D8B8B7B0C0CB}">
  <ds:schemaRefs>
    <ds:schemaRef ds:uri="http://schemas.microsoft.com/sharepoint/v3/contenttype/forms"/>
  </ds:schemaRefs>
</ds:datastoreItem>
</file>

<file path=customXml/itemProps3.xml><?xml version="1.0" encoding="utf-8"?>
<ds:datastoreItem xmlns:ds="http://schemas.openxmlformats.org/officeDocument/2006/customXml" ds:itemID="{208EFA33-CA93-40C6-9A6F-FCFFD7C9B736}">
  <ds:schemaRefs>
    <ds:schemaRef ds:uri="19b53d68-06dc-4363-8c38-a66e89ecd26c"/>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f2f46be-50cd-41cc-a5a3-1ee93b6847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13638</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Concept Beleggingsstatuut Stichting Nationaal Fonds voor Vrijheid en Veteranenzorg</vt:lpstr>
      <vt:lpstr>Concept Beleggingsstatuut Stichting Nationaal Fonds voor Vrijheid en Veteranenzorg</vt:lpstr>
    </vt:vector>
  </TitlesOfParts>
  <Company>Schretlen &amp; Co</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Beleggingsstatuut Stichting Nationaal Fonds voor Vrijheid en Veteranenzorg</dc:title>
  <dc:creator>hoevend</dc:creator>
  <cp:lastModifiedBy>Janine Rijksen</cp:lastModifiedBy>
  <cp:revision>2</cp:revision>
  <cp:lastPrinted>2020-05-15T10:24:00Z</cp:lastPrinted>
  <dcterms:created xsi:type="dcterms:W3CDTF">2023-02-06T15:44:00Z</dcterms:created>
  <dcterms:modified xsi:type="dcterms:W3CDTF">2023-02-06T15:44:00Z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0x010100792B95E4DF940341893B3A9E757776CC</vt:lpwstr>
  </property>
  <property fmtid="{D5CDD505-2E9C-101B-9397-08002B2CF9AE}" pid="3" name="Order">
    <vt:r8>1556000</vt:r8>
  </property>
</Properties>
</file>